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FB590">
      <w:pPr>
        <w:keepNext w:val="0"/>
        <w:keepLines w:val="0"/>
        <w:pageBreakBefore w:val="0"/>
        <w:widowControl w:val="0"/>
        <w:kinsoku/>
        <w:overflowPunct/>
        <w:topLinePunct w:val="0"/>
        <w:autoSpaceDE/>
        <w:autoSpaceDN/>
        <w:bidi w:val="0"/>
        <w:adjustRightInd/>
        <w:snapToGrid/>
        <w:spacing w:line="580" w:lineRule="exact"/>
        <w:ind w:left="0" w:leftChars="0"/>
        <w:rPr>
          <w:rFonts w:hint="eastAsia" w:ascii="Times New Roman" w:hAnsi="Times New Roman" w:eastAsia="黑体" w:cs="黑体"/>
          <w:bCs/>
          <w:color w:val="000000"/>
          <w:sz w:val="32"/>
          <w:szCs w:val="32"/>
          <w:highlight w:val="none"/>
        </w:rPr>
      </w:pPr>
      <w:bookmarkStart w:id="0" w:name="_GoBack"/>
      <w:r>
        <w:rPr>
          <w:rFonts w:hint="eastAsia" w:ascii="Times New Roman" w:hAnsi="Times New Roman" w:eastAsia="黑体" w:cs="黑体"/>
          <w:bCs/>
          <w:color w:val="000000"/>
          <w:sz w:val="32"/>
          <w:szCs w:val="32"/>
          <w:highlight w:val="none"/>
        </w:rPr>
        <w:t>附件</w:t>
      </w:r>
      <w:r>
        <w:rPr>
          <w:rFonts w:hint="eastAsia" w:ascii="Times New Roman" w:hAnsi="Times New Roman" w:eastAsia="黑体" w:cs="黑体"/>
          <w:bCs/>
          <w:color w:val="000000"/>
          <w:sz w:val="32"/>
          <w:szCs w:val="32"/>
          <w:highlight w:val="none"/>
          <w:lang w:val="en-US" w:eastAsia="zh-CN"/>
        </w:rPr>
        <w:t>6</w:t>
      </w:r>
    </w:p>
    <w:p w14:paraId="5C9662CB">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方正小标宋简体" w:cs="方正小标宋简体"/>
          <w:color w:val="000000"/>
          <w:sz w:val="44"/>
          <w:szCs w:val="44"/>
          <w:highlight w:val="none"/>
        </w:rPr>
      </w:pPr>
      <w:r>
        <w:rPr>
          <w:rFonts w:hint="eastAsia" w:ascii="Times New Roman" w:hAnsi="Times New Roman" w:eastAsia="方正小标宋简体" w:cs="方正小标宋简体"/>
          <w:color w:val="000000"/>
          <w:sz w:val="44"/>
          <w:szCs w:val="44"/>
          <w:highlight w:val="none"/>
        </w:rPr>
        <w:t>危险化学品建设项目安全设施</w:t>
      </w:r>
    </w:p>
    <w:p w14:paraId="30945C5A">
      <w:pPr>
        <w:keepNext w:val="0"/>
        <w:keepLines w:val="0"/>
        <w:pageBreakBefore w:val="0"/>
        <w:widowControl w:val="0"/>
        <w:kinsoku/>
        <w:overflowPunct/>
        <w:topLinePunct w:val="0"/>
        <w:autoSpaceDE/>
        <w:autoSpaceDN/>
        <w:bidi w:val="0"/>
        <w:adjustRightInd/>
        <w:snapToGrid/>
        <w:spacing w:line="580" w:lineRule="exact"/>
        <w:ind w:left="0" w:leftChars="0"/>
        <w:jc w:val="center"/>
        <w:rPr>
          <w:rFonts w:hint="eastAsia" w:ascii="Times New Roman" w:hAnsi="Times New Roman" w:eastAsia="黑体" w:cs="黑体"/>
          <w:b/>
          <w:bCs/>
          <w:color w:val="000000"/>
          <w:sz w:val="44"/>
          <w:szCs w:val="44"/>
          <w:highlight w:val="none"/>
        </w:rPr>
      </w:pPr>
      <w:r>
        <w:rPr>
          <w:rFonts w:hint="eastAsia" w:ascii="Times New Roman" w:hAnsi="Times New Roman" w:eastAsia="方正小标宋简体" w:cs="方正小标宋简体"/>
          <w:color w:val="000000"/>
          <w:sz w:val="44"/>
          <w:szCs w:val="44"/>
          <w:highlight w:val="none"/>
        </w:rPr>
        <w:t>验收情况监督核查要点</w:t>
      </w:r>
    </w:p>
    <w:bookmarkEnd w:id="0"/>
    <w:p w14:paraId="123841EC">
      <w:pPr>
        <w:keepNext w:val="0"/>
        <w:keepLines w:val="0"/>
        <w:pageBreakBefore w:val="0"/>
        <w:widowControl w:val="0"/>
        <w:kinsoku/>
        <w:wordWrap/>
        <w:overflowPunct w:val="0"/>
        <w:topLinePunct w:val="0"/>
        <w:autoSpaceDE/>
        <w:autoSpaceDN/>
        <w:bidi w:val="0"/>
        <w:adjustRightInd/>
        <w:snapToGrid/>
        <w:spacing w:line="580" w:lineRule="exact"/>
        <w:ind w:left="0" w:leftChars="0"/>
        <w:textAlignment w:val="auto"/>
        <w:rPr>
          <w:rFonts w:ascii="Times New Roman" w:hAnsi="Times New Roman" w:eastAsia="仿宋"/>
          <w:b w:val="0"/>
          <w:bCs w:val="0"/>
          <w:color w:val="000000"/>
          <w:sz w:val="32"/>
          <w:szCs w:val="32"/>
          <w:highlight w:val="none"/>
        </w:rPr>
      </w:pPr>
    </w:p>
    <w:p w14:paraId="58AB81A8">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ascii="Times New Roman" w:hAnsi="Times New Roman" w:eastAsia="仿宋"/>
          <w:b w:val="0"/>
          <w:bCs w:val="0"/>
          <w:color w:val="000000"/>
          <w:sz w:val="32"/>
          <w:szCs w:val="32"/>
          <w:highlight w:val="none"/>
        </w:rPr>
      </w:pPr>
      <w:r>
        <w:rPr>
          <w:rFonts w:hint="eastAsia" w:ascii="Times New Roman" w:hAnsi="Times New Roman" w:eastAsia="黑体" w:cs="黑体"/>
          <w:color w:val="000000"/>
          <w:sz w:val="32"/>
          <w:szCs w:val="32"/>
          <w:highlight w:val="none"/>
        </w:rPr>
        <w:t>一、验收活动监督核查要点</w:t>
      </w:r>
    </w:p>
    <w:p w14:paraId="2A38F090">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楷体" w:cs="楷体"/>
          <w:b w:val="0"/>
          <w:bCs w:val="0"/>
          <w:color w:val="000000"/>
          <w:sz w:val="32"/>
          <w:szCs w:val="32"/>
          <w:highlight w:val="none"/>
        </w:rPr>
      </w:pPr>
      <w:r>
        <w:rPr>
          <w:rFonts w:hint="eastAsia" w:ascii="Times New Roman" w:hAnsi="Times New Roman" w:eastAsia="楷体" w:cs="楷体"/>
          <w:b w:val="0"/>
          <w:bCs w:val="0"/>
          <w:color w:val="000000"/>
          <w:sz w:val="32"/>
          <w:szCs w:val="32"/>
          <w:highlight w:val="none"/>
        </w:rPr>
        <w:t>（一）验收组织和参与单位及人员情况</w:t>
      </w:r>
    </w:p>
    <w:p w14:paraId="5DA8AB33">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b w:val="0"/>
          <w:bCs w:val="0"/>
          <w:color w:val="000000"/>
          <w:sz w:val="32"/>
          <w:szCs w:val="32"/>
          <w:highlight w:val="none"/>
        </w:rPr>
      </w:pPr>
      <w:r>
        <w:rPr>
          <w:rFonts w:hint="eastAsia" w:ascii="Times New Roman" w:hAnsi="Times New Roman" w:eastAsia="仿宋" w:cs="仿宋"/>
          <w:color w:val="000000"/>
          <w:sz w:val="32"/>
          <w:szCs w:val="32"/>
          <w:highlight w:val="none"/>
        </w:rPr>
        <w:t>1.验收工作方案是否明确建设项目安全设施验收范围、参与人员、时间安排、工作步骤、工作要求等内容，并以正式文件报送</w:t>
      </w:r>
      <w:r>
        <w:rPr>
          <w:rFonts w:hint="eastAsia" w:ascii="Times New Roman" w:hAnsi="Times New Roman" w:eastAsia="仿宋" w:cs="仿宋"/>
          <w:color w:val="000000"/>
          <w:sz w:val="32"/>
          <w:szCs w:val="32"/>
          <w:highlight w:val="none"/>
          <w:lang w:val="en-US" w:eastAsia="zh-CN"/>
        </w:rPr>
        <w:t>应急管理</w:t>
      </w:r>
      <w:r>
        <w:rPr>
          <w:rFonts w:hint="eastAsia" w:ascii="Times New Roman" w:hAnsi="Times New Roman" w:eastAsia="仿宋" w:cs="仿宋"/>
          <w:color w:val="000000"/>
          <w:sz w:val="32"/>
          <w:szCs w:val="32"/>
          <w:highlight w:val="none"/>
        </w:rPr>
        <w:t>部门。（</w:t>
      </w:r>
      <w:r>
        <w:rPr>
          <w:rFonts w:hint="eastAsia" w:ascii="Times New Roman" w:hAnsi="Times New Roman" w:eastAsia="仿宋" w:cs="仿宋"/>
          <w:color w:val="000000"/>
          <w:sz w:val="32"/>
          <w:szCs w:val="32"/>
          <w:highlight w:val="none"/>
          <w:lang w:eastAsia="zh-CN"/>
        </w:rPr>
        <w:t>适用</w:t>
      </w:r>
      <w:r>
        <w:rPr>
          <w:rFonts w:hint="eastAsia" w:ascii="Times New Roman" w:hAnsi="Times New Roman" w:eastAsia="仿宋" w:cs="仿宋"/>
          <w:color w:val="000000"/>
          <w:sz w:val="32"/>
          <w:szCs w:val="32"/>
          <w:highlight w:val="none"/>
        </w:rPr>
        <w:t>简化程序的建设项目除外）</w:t>
      </w:r>
    </w:p>
    <w:p w14:paraId="2BBA8946">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2.建设单位是否根据安全设施验收工作需要，组织成立验收工作组，推选产生工作组长，确定人员分工，明确验收工作安排和要求。</w:t>
      </w:r>
    </w:p>
    <w:p w14:paraId="6A567C5C">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3.建设单位主要负责人或者项目负责人、分管安全生产负责人是否参加验收。</w:t>
      </w:r>
    </w:p>
    <w:p w14:paraId="4AD88E9D">
      <w:pPr>
        <w:keepNext w:val="0"/>
        <w:keepLines w:val="0"/>
        <w:pageBreakBefore w:val="0"/>
        <w:widowControl w:val="0"/>
        <w:kinsoku/>
        <w:wordWrap/>
        <w:overflowPunct w:val="0"/>
        <w:topLinePunct w:val="0"/>
        <w:autoSpaceDE/>
        <w:autoSpaceDN/>
        <w:bidi w:val="0"/>
        <w:adjustRightInd/>
        <w:snapToGrid/>
        <w:spacing w:line="580" w:lineRule="exact"/>
        <w:ind w:left="0" w:leftChars="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 xml:space="preserve">    4.建设项目设计单位项目负责人及相关人员是否参加验收，设计单位是否对建设项目达到通过审查的建设项目安全设施设计文件要求进行确认；施工单位、监理单位、安全评价单位项目负责人是否参加验收。</w:t>
      </w:r>
    </w:p>
    <w:p w14:paraId="1828EBB9">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5.建设单位是否根据建设项目的实际情况，组织具有化工工艺、化工设备、仪表自动化、安全管理等涵盖建设项目涉及的所有专业的专家参与验收工作。邀请的专家数量、专业、资格（资质、职称）是否满足验收工作要求。</w:t>
      </w:r>
    </w:p>
    <w:p w14:paraId="3B1ADC65">
      <w:pPr>
        <w:keepNext w:val="0"/>
        <w:keepLines w:val="0"/>
        <w:pageBreakBefore w:val="0"/>
        <w:widowControl w:val="0"/>
        <w:kinsoku/>
        <w:wordWrap/>
        <w:overflowPunct w:val="0"/>
        <w:topLinePunct w:val="0"/>
        <w:autoSpaceDE/>
        <w:autoSpaceDN/>
        <w:bidi w:val="0"/>
        <w:adjustRightInd/>
        <w:snapToGrid/>
        <w:spacing w:line="580" w:lineRule="exact"/>
        <w:ind w:left="0" w:leftChars="0"/>
        <w:textAlignment w:val="auto"/>
        <w:rPr>
          <w:rFonts w:hint="eastAsia" w:ascii="Times New Roman" w:hAnsi="Times New Roman" w:eastAsia="楷体" w:cs="楷体"/>
          <w:b w:val="0"/>
          <w:bCs w:val="0"/>
          <w:color w:val="000000"/>
          <w:sz w:val="32"/>
          <w:szCs w:val="32"/>
          <w:highlight w:val="none"/>
        </w:rPr>
      </w:pPr>
      <w:r>
        <w:rPr>
          <w:rFonts w:ascii="Times New Roman" w:hAnsi="Times New Roman" w:eastAsia="仿宋"/>
          <w:b w:val="0"/>
          <w:bCs w:val="0"/>
          <w:color w:val="000000"/>
          <w:sz w:val="32"/>
          <w:szCs w:val="32"/>
          <w:highlight w:val="none"/>
        </w:rPr>
        <w:t xml:space="preserve"> </w:t>
      </w:r>
      <w:r>
        <w:rPr>
          <w:rFonts w:hint="eastAsia" w:ascii="Times New Roman" w:hAnsi="Times New Roman" w:eastAsia="楷体" w:cs="楷体"/>
          <w:b w:val="0"/>
          <w:bCs w:val="0"/>
          <w:color w:val="000000"/>
          <w:sz w:val="32"/>
          <w:szCs w:val="32"/>
          <w:highlight w:val="none"/>
        </w:rPr>
        <w:t xml:space="preserve">   （二）验收文件资料</w:t>
      </w:r>
    </w:p>
    <w:p w14:paraId="14745AEE">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1.</w:t>
      </w:r>
      <w:r>
        <w:rPr>
          <w:rFonts w:hint="eastAsia" w:ascii="Times New Roman" w:hAnsi="Times New Roman" w:eastAsia="仿宋" w:cs="仿宋"/>
          <w:color w:val="000000"/>
          <w:sz w:val="32"/>
          <w:szCs w:val="32"/>
          <w:highlight w:val="none"/>
        </w:rPr>
        <w:t>经</w:t>
      </w:r>
      <w:r>
        <w:rPr>
          <w:rFonts w:hint="eastAsia" w:ascii="Times New Roman" w:hAnsi="Times New Roman" w:eastAsia="仿宋" w:cs="仿宋"/>
          <w:color w:val="000000"/>
          <w:sz w:val="32"/>
          <w:szCs w:val="32"/>
          <w:highlight w:val="none"/>
          <w:lang w:val="en-US" w:eastAsia="zh-CN"/>
        </w:rPr>
        <w:t>应急管理</w:t>
      </w:r>
      <w:r>
        <w:rPr>
          <w:rFonts w:hint="eastAsia" w:ascii="Times New Roman" w:hAnsi="Times New Roman" w:eastAsia="仿宋" w:cs="仿宋"/>
          <w:color w:val="000000"/>
          <w:sz w:val="32"/>
          <w:szCs w:val="32"/>
          <w:highlight w:val="none"/>
        </w:rPr>
        <w:t>部门审查同意的建设项目安全设施设计专篇</w:t>
      </w:r>
      <w:r>
        <w:rPr>
          <w:rFonts w:hint="eastAsia" w:ascii="Times New Roman" w:hAnsi="Times New Roman" w:eastAsia="仿宋" w:cs="仿宋"/>
          <w:color w:val="000000"/>
          <w:sz w:val="32"/>
          <w:szCs w:val="32"/>
          <w:highlight w:val="none"/>
          <w:lang w:eastAsia="zh-CN"/>
        </w:rPr>
        <w:t>和建设项目安全设施设计审查意见书及建设项目试生产（使用）方案备案回执</w:t>
      </w:r>
      <w:r>
        <w:rPr>
          <w:rFonts w:hint="eastAsia" w:ascii="Times New Roman" w:hAnsi="Times New Roman" w:eastAsia="仿宋" w:cs="仿宋"/>
          <w:color w:val="000000"/>
          <w:sz w:val="32"/>
          <w:szCs w:val="32"/>
          <w:highlight w:val="none"/>
        </w:rPr>
        <w:t>是否齐全。</w:t>
      </w:r>
    </w:p>
    <w:p w14:paraId="105924FE">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2.设计单位对建设项目安全设施施工是否满足安全设施设计专篇中要求的书面确认意见，及对在施工期间是否改变安全设施设计且达到安全可靠性要求的设计复核书面意见。</w:t>
      </w:r>
    </w:p>
    <w:p w14:paraId="374BB54C">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3.建设单位编制的试生产情况报告、安全设施施工、监理情况报告（按照规定不要求监理的可除外）、建设项目安全验收评价报告等书面材料是否齐全。</w:t>
      </w:r>
    </w:p>
    <w:p w14:paraId="1AE56E45">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4.安全生产主要负责人、安全管理人员安全生产知识和管理能力经考核合格的证明材料；是否按规定配备注册安全工程师。</w:t>
      </w:r>
    </w:p>
    <w:p w14:paraId="1F756FD2">
      <w:pPr>
        <w:keepNext w:val="0"/>
        <w:keepLines w:val="0"/>
        <w:pageBreakBefore w:val="0"/>
        <w:widowControl w:val="0"/>
        <w:kinsoku/>
        <w:wordWrap/>
        <w:overflowPunct w:val="0"/>
        <w:topLinePunct w:val="0"/>
        <w:autoSpaceDE/>
        <w:autoSpaceDN/>
        <w:bidi w:val="0"/>
        <w:adjustRightInd/>
        <w:snapToGrid/>
        <w:spacing w:line="580" w:lineRule="exact"/>
        <w:ind w:left="0" w:leftChars="0"/>
        <w:textAlignment w:val="auto"/>
        <w:rPr>
          <w:rFonts w:ascii="Times New Roman" w:hAnsi="Times New Roman" w:eastAsia="仿宋"/>
          <w:b w:val="0"/>
          <w:bCs w:val="0"/>
          <w:color w:val="000000"/>
          <w:sz w:val="32"/>
          <w:szCs w:val="32"/>
          <w:highlight w:val="none"/>
        </w:rPr>
      </w:pPr>
      <w:r>
        <w:rPr>
          <w:rFonts w:ascii="Times New Roman" w:hAnsi="Times New Roman" w:eastAsia="仿宋"/>
          <w:b w:val="0"/>
          <w:bCs w:val="0"/>
          <w:color w:val="000000"/>
          <w:sz w:val="32"/>
          <w:szCs w:val="32"/>
          <w:highlight w:val="none"/>
        </w:rPr>
        <w:t xml:space="preserve">    </w:t>
      </w:r>
      <w:r>
        <w:rPr>
          <w:rFonts w:hint="eastAsia" w:ascii="Times New Roman" w:hAnsi="Times New Roman" w:eastAsia="黑体" w:cs="黑体"/>
          <w:color w:val="000000"/>
          <w:sz w:val="32"/>
          <w:szCs w:val="32"/>
          <w:highlight w:val="none"/>
        </w:rPr>
        <w:t>二、验收结论监督核查要点</w:t>
      </w:r>
    </w:p>
    <w:p w14:paraId="5DA38E64">
      <w:pPr>
        <w:keepNext w:val="0"/>
        <w:keepLines w:val="0"/>
        <w:pageBreakBefore w:val="0"/>
        <w:widowControl w:val="0"/>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lang w:val="en-US" w:eastAsia="zh-CN"/>
        </w:rPr>
        <w:t>1.</w:t>
      </w:r>
      <w:r>
        <w:rPr>
          <w:rFonts w:hint="eastAsia" w:ascii="Times New Roman" w:hAnsi="Times New Roman" w:eastAsia="仿宋" w:cs="仿宋"/>
          <w:color w:val="000000"/>
          <w:sz w:val="32"/>
          <w:szCs w:val="32"/>
          <w:highlight w:val="none"/>
        </w:rPr>
        <w:t>核查验收范围是否与项目立项批准（核准、备案）或安全设施设计审查的范围相一致。</w:t>
      </w:r>
      <w:r>
        <w:rPr>
          <w:rFonts w:hint="eastAsia" w:ascii="Times New Roman" w:hAnsi="Times New Roman" w:eastAsia="仿宋" w:cs="仿宋"/>
          <w:color w:val="000000"/>
          <w:sz w:val="32"/>
          <w:szCs w:val="32"/>
          <w:highlight w:val="none"/>
        </w:rPr>
        <w:tab/>
      </w:r>
    </w:p>
    <w:p w14:paraId="3F1123D1">
      <w:pPr>
        <w:keepNext w:val="0"/>
        <w:keepLines w:val="0"/>
        <w:pageBreakBefore w:val="0"/>
        <w:widowControl w:val="0"/>
        <w:numPr>
          <w:ilvl w:val="0"/>
          <w:numId w:val="2"/>
        </w:numPr>
        <w:kinsoku/>
        <w:wordWrap/>
        <w:overflowPunct w:val="0"/>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 w:cs="仿宋"/>
          <w:color w:val="000000"/>
          <w:sz w:val="32"/>
          <w:szCs w:val="32"/>
          <w:highlight w:val="none"/>
        </w:rPr>
      </w:pPr>
      <w:r>
        <w:rPr>
          <w:rFonts w:hint="eastAsia" w:ascii="Times New Roman" w:hAnsi="Times New Roman" w:eastAsia="仿宋" w:cs="仿宋"/>
          <w:color w:val="000000"/>
          <w:sz w:val="32"/>
          <w:szCs w:val="32"/>
          <w:highlight w:val="none"/>
        </w:rPr>
        <w:t>检查参与验收人员对建设项目进行资料审查和现场核查记录是否齐全；核查参与验收人员是否参照《危险化学品建设项目安全设施验收审查要点》逐项进行审核、专家提出建议意见采纳及说明情况；抽查安全验收评价报告提出的问题及建议措施整改落实、验收结论及安全评价报告客观真实情况。</w:t>
      </w:r>
    </w:p>
    <w:p w14:paraId="319F4430">
      <w:r>
        <w:rPr>
          <w:rFonts w:hint="eastAsia" w:ascii="Times New Roman" w:hAnsi="Times New Roman" w:eastAsia="仿宋" w:cs="仿宋"/>
          <w:bCs w:val="0"/>
          <w:color w:val="000000"/>
          <w:sz w:val="32"/>
          <w:szCs w:val="32"/>
          <w:highlight w:val="none"/>
        </w:rPr>
        <w:t>3.对</w:t>
      </w:r>
      <w:r>
        <w:rPr>
          <w:rFonts w:hint="eastAsia" w:ascii="Times New Roman" w:hAnsi="Times New Roman" w:eastAsia="仿宋" w:cs="仿宋"/>
          <w:bCs w:val="0"/>
          <w:color w:val="000000"/>
          <w:sz w:val="32"/>
          <w:szCs w:val="32"/>
          <w:highlight w:val="none"/>
          <w:lang w:eastAsia="zh-CN"/>
        </w:rPr>
        <w:t>适用</w:t>
      </w:r>
      <w:r>
        <w:rPr>
          <w:rFonts w:hint="eastAsia" w:ascii="Times New Roman" w:hAnsi="Times New Roman" w:eastAsia="仿宋" w:cs="仿宋"/>
          <w:bCs w:val="0"/>
          <w:color w:val="000000"/>
          <w:sz w:val="32"/>
          <w:szCs w:val="32"/>
          <w:highlight w:val="none"/>
        </w:rPr>
        <w:t>简化程序的建设项目，重点核查安全评价报告的客观性、真实性。</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suff w:val="nothing"/>
      <w:lvlText w:val="%1."/>
      <w:lvlJc w:val="left"/>
    </w:lvl>
  </w:abstractNum>
  <w:abstractNum w:abstractNumId="1">
    <w:nsid w:val="1841FE4F"/>
    <w:multiLevelType w:val="multilevel"/>
    <w:tmpl w:val="1841FE4F"/>
    <w:lvl w:ilvl="0" w:tentative="0">
      <w:start w:val="1"/>
      <w:numFmt w:val="chineseCounting"/>
      <w:suff w:val="nothing"/>
      <w:lvlText w:val="第%1章 "/>
      <w:lvlJc w:val="left"/>
      <w:pPr>
        <w:ind w:left="425" w:hanging="425"/>
      </w:pPr>
      <w:rPr>
        <w:rFonts w:hint="eastAsia"/>
      </w:rPr>
    </w:lvl>
    <w:lvl w:ilvl="1" w:tentative="0">
      <w:start w:val="1"/>
      <w:numFmt w:val="decimal"/>
      <w:isLgl/>
      <w:lvlText w:val="%1.%2."/>
      <w:lvlJc w:val="left"/>
      <w:pPr>
        <w:ind w:left="567" w:hanging="567"/>
      </w:pPr>
      <w:rPr>
        <w:rFonts w:hint="eastAsia"/>
      </w:rPr>
    </w:lvl>
    <w:lvl w:ilvl="2" w:tentative="0">
      <w:start w:val="1"/>
      <w:numFmt w:val="decimal"/>
      <w:pStyle w:val="2"/>
      <w:isLgl/>
      <w:lvlText w:val="%1.%2.%3."/>
      <w:lvlJc w:val="left"/>
      <w:pPr>
        <w:ind w:left="709" w:hanging="709"/>
      </w:pPr>
      <w:rPr>
        <w:rFonts w:hint="eastAsia"/>
      </w:rPr>
    </w:lvl>
    <w:lvl w:ilvl="3" w:tentative="0">
      <w:start w:val="1"/>
      <w:numFmt w:val="decimal"/>
      <w:isLgl/>
      <w:lvlText w:val="%1.%2.%3.%4."/>
      <w:lvlJc w:val="left"/>
      <w:pPr>
        <w:ind w:left="850" w:hanging="850"/>
      </w:pPr>
      <w:rPr>
        <w:rFonts w:hint="eastAsia"/>
      </w:rPr>
    </w:lvl>
    <w:lvl w:ilvl="4" w:tentative="0">
      <w:start w:val="1"/>
      <w:numFmt w:val="decimal"/>
      <w:isLgl/>
      <w:lvlText w:val="%1.%2.%3.%4.%5."/>
      <w:lvlJc w:val="left"/>
      <w:pPr>
        <w:ind w:left="991" w:hanging="991"/>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5" w:hanging="1275"/>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8" w:hanging="1558"/>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B4C68"/>
    <w:rsid w:val="03B713E0"/>
    <w:rsid w:val="0CF54A25"/>
    <w:rsid w:val="1A57106F"/>
    <w:rsid w:val="34FD363C"/>
    <w:rsid w:val="468A223A"/>
    <w:rsid w:val="508957E5"/>
    <w:rsid w:val="6C867659"/>
    <w:rsid w:val="706F47B3"/>
    <w:rsid w:val="7F8B4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left="0" w:leftChars="0" w:firstLine="400"/>
      <w:outlineLvl w:val="2"/>
    </w:pPr>
    <w:rPr>
      <w:rFonts w:ascii="Calibri" w:hAnsi="Calibri" w:eastAsia="黑体"/>
      <w:sz w:val="30"/>
    </w:rPr>
  </w:style>
  <w:style w:type="paragraph" w:styleId="3">
    <w:name w:val="heading 4"/>
    <w:basedOn w:val="1"/>
    <w:next w:val="1"/>
    <w:semiHidden/>
    <w:unhideWhenUsed/>
    <w:qFormat/>
    <w:uiPriority w:val="0"/>
    <w:pPr>
      <w:keepNext/>
      <w:keepLines/>
      <w:spacing w:before="280" w:beforeLines="0" w:beforeAutospacing="0" w:after="290" w:afterLines="0" w:afterAutospacing="0" w:line="372" w:lineRule="auto"/>
      <w:ind w:left="640" w:leftChars="200"/>
      <w:jc w:val="left"/>
      <w:outlineLvl w:val="3"/>
    </w:pPr>
    <w:rPr>
      <w:rFonts w:ascii="Arial" w:hAnsi="Arial" w:eastAsia="黑体"/>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next w:val="6"/>
    <w:uiPriority w:val="0"/>
    <w:pPr>
      <w:ind w:left="106"/>
    </w:pPr>
    <w:rPr>
      <w:rFonts w:ascii="宋体" w:hAnsi="宋体" w:eastAsia="仿宋_GB2312" w:cs="宋体"/>
      <w:sz w:val="32"/>
      <w:szCs w:val="19"/>
      <w:lang w:val="zh-CN" w:bidi="zh-CN"/>
    </w:rPr>
  </w:style>
  <w:style w:type="paragraph" w:styleId="6">
    <w:name w:val="toc 5"/>
    <w:basedOn w:val="1"/>
    <w:next w:val="1"/>
    <w:uiPriority w:val="0"/>
    <w:pPr>
      <w:ind w:left="1680" w:leftChars="800"/>
    </w:pPr>
  </w:style>
  <w:style w:type="paragraph" w:customStyle="1" w:styleId="9">
    <w:name w:val="Default"/>
    <w:qFormat/>
    <w:uiPriority w:val="0"/>
    <w:pPr>
      <w:widowControl w:val="0"/>
      <w:autoSpaceDE w:val="0"/>
      <w:autoSpaceDN w:val="0"/>
      <w:adjustRightInd w:val="0"/>
    </w:pPr>
    <w:rPr>
      <w:rFonts w:ascii="宋体" w:hAnsi="宋体" w:eastAsia="仿宋_GB2312" w:cs="Times New Roman"/>
      <w:color w:val="000000"/>
      <w:sz w:val="32"/>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2026-09-28T03:25:00Z</dcterms:created>
  <dc:creator>√不知道</dc:creator>
  <cp:lastModifiedBy>√不知道</cp:lastModifiedBy>
  <dcterms:modified xsi:type="dcterms:W3CDTF">2026-09-28T03:25:42Z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81AEE946AB6440C7BCBDF83B56C54E9C_11</vt:lpwstr>
  </property>
  <property fmtid="{D5CDD505-2E9C-101B-9397-08002B2CF9AE}" pid="4" name="KSOTemplateDocerSaveRecord">
    <vt:lpwstr>eyJoZGlkIjoiMzA1MzdhY2ZkNWRkNTFjY2Y4ZjE2Yjk1ZTVmNmZhNWEiLCJ1c2VySWQiOiIxOTgzNjg4MzcifQ==</vt:lpwstr>
  </property>
</Properties>
</file>