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741C71">
      <w:pPr>
        <w:jc w:val="center"/>
        <w:rPr>
          <w:rFonts w:ascii="黑体" w:hAnsi="黑体" w:eastAsia="黑体"/>
          <w:sz w:val="36"/>
          <w:szCs w:val="36"/>
        </w:rPr>
      </w:pPr>
      <w:r>
        <w:rPr>
          <w:rFonts w:hint="eastAsia" w:ascii="黑体" w:hAnsi="黑体" w:eastAsia="黑体"/>
          <w:sz w:val="36"/>
          <w:szCs w:val="36"/>
        </w:rPr>
        <w:t>怀集县城区易涝积水点排水防涝改造工程（三期）</w:t>
      </w:r>
    </w:p>
    <w:p w14:paraId="077A34DF">
      <w:pPr>
        <w:jc w:val="center"/>
        <w:rPr>
          <w:rFonts w:ascii="黑体" w:hAnsi="黑体" w:eastAsia="黑体"/>
          <w:sz w:val="36"/>
          <w:szCs w:val="36"/>
        </w:rPr>
      </w:pPr>
      <w:r>
        <w:rPr>
          <w:rFonts w:hint="eastAsia" w:ascii="黑体" w:hAnsi="黑体" w:eastAsia="黑体"/>
          <w:sz w:val="36"/>
          <w:szCs w:val="36"/>
        </w:rPr>
        <w:t>勘察设计服务用户需求书</w:t>
      </w:r>
    </w:p>
    <w:p w14:paraId="36F0FAD0">
      <w:pPr>
        <w:spacing w:line="360" w:lineRule="auto"/>
        <w:rPr>
          <w:rFonts w:ascii="仿宋_GB2312" w:eastAsia="仿宋_GB2312"/>
          <w:sz w:val="24"/>
        </w:rPr>
      </w:pPr>
    </w:p>
    <w:p w14:paraId="14EED879">
      <w:pPr>
        <w:pStyle w:val="3"/>
      </w:pPr>
      <w:r>
        <w:t>一、项目背景</w:t>
      </w:r>
    </w:p>
    <w:p w14:paraId="75ACDA49">
      <w:pPr>
        <w:spacing w:line="360" w:lineRule="auto"/>
        <w:ind w:firstLine="480" w:firstLineChars="200"/>
        <w:rPr>
          <w:rFonts w:ascii="仿宋_GB2312" w:eastAsia="仿宋_GB2312"/>
          <w:sz w:val="24"/>
        </w:rPr>
      </w:pPr>
      <w:r>
        <w:rPr>
          <w:rFonts w:ascii="仿宋_GB2312" w:eastAsia="仿宋_GB2312"/>
          <w:sz w:val="24"/>
        </w:rPr>
        <w:t>本项目的实施</w:t>
      </w:r>
      <w:r>
        <w:rPr>
          <w:rFonts w:hint="eastAsia" w:ascii="仿宋_GB2312" w:eastAsia="仿宋_GB2312"/>
          <w:sz w:val="24"/>
        </w:rPr>
        <w:t>主要为</w:t>
      </w:r>
      <w:r>
        <w:rPr>
          <w:rFonts w:ascii="仿宋_GB2312" w:eastAsia="仿宋_GB2312"/>
          <w:sz w:val="24"/>
        </w:rPr>
        <w:t>改造更新老化破损的管道，有效缓解雨污管网混错接问题，消除城中村、老旧城区和城乡结合部管网空白区，推动支线管网和出户管的连接建设，有效缓解城镇污水处理厂进水浓度和负荷率严重偏低的问题，响应国家生态文明建设战略的要求，落实上级政策文件的精神</w:t>
      </w:r>
      <w:r>
        <w:rPr>
          <w:rFonts w:hint="eastAsia" w:ascii="仿宋_GB2312" w:eastAsia="仿宋_GB2312"/>
          <w:sz w:val="24"/>
        </w:rPr>
        <w:t>及</w:t>
      </w:r>
      <w:r>
        <w:rPr>
          <w:rFonts w:ascii="仿宋_GB2312" w:eastAsia="仿宋_GB2312"/>
          <w:sz w:val="24"/>
        </w:rPr>
        <w:t>环保督查整改工作的要求</w:t>
      </w:r>
      <w:r>
        <w:rPr>
          <w:rFonts w:hint="eastAsia" w:ascii="仿宋_GB2312" w:eastAsia="仿宋_GB2312"/>
          <w:sz w:val="24"/>
        </w:rPr>
        <w:t>，</w:t>
      </w:r>
      <w:r>
        <w:rPr>
          <w:rFonts w:ascii="仿宋_GB2312" w:eastAsia="仿宋_GB2312"/>
          <w:sz w:val="24"/>
        </w:rPr>
        <w:t>弥补管网建设历史欠账，保障和改善民生</w:t>
      </w:r>
      <w:r>
        <w:rPr>
          <w:rFonts w:hint="eastAsia" w:ascii="仿宋_GB2312" w:eastAsia="仿宋_GB2312"/>
          <w:sz w:val="24"/>
        </w:rPr>
        <w:t>。</w:t>
      </w:r>
    </w:p>
    <w:p w14:paraId="1F447955">
      <w:pPr>
        <w:pStyle w:val="3"/>
      </w:pPr>
      <w:r>
        <w:rPr>
          <w:rFonts w:hint="eastAsia"/>
        </w:rPr>
        <w:t>二、项目概况</w:t>
      </w:r>
    </w:p>
    <w:p w14:paraId="000C5652">
      <w:pPr>
        <w:spacing w:line="360" w:lineRule="auto"/>
        <w:ind w:firstLine="480" w:firstLineChars="200"/>
        <w:jc w:val="both"/>
        <w:rPr>
          <w:rFonts w:ascii="仿宋_GB2312" w:eastAsia="仿宋_GB2312"/>
          <w:sz w:val="24"/>
        </w:rPr>
      </w:pPr>
      <w:r>
        <w:rPr>
          <w:rFonts w:ascii="仿宋_GB2312" w:eastAsia="仿宋_GB2312"/>
          <w:sz w:val="24"/>
        </w:rPr>
        <w:t>本项目建设规模为：改造修复1.0m×1.8m（B×H）排水方涵2.2km，改造修复1.2m×1.4m（B×H）排水方涵1.9km，改造修复1.2m×1.2m（B×H）排水方涵2.1km，清理管道淤堵约11070m</w:t>
      </w:r>
      <w:r>
        <w:rPr>
          <w:rFonts w:ascii="仿宋_GB2312" w:eastAsia="仿宋_GB2312"/>
          <w:sz w:val="24"/>
          <w:vertAlign w:val="superscript"/>
        </w:rPr>
        <w:t>3</w:t>
      </w:r>
      <w:r>
        <w:rPr>
          <w:rFonts w:ascii="仿宋_GB2312" w:eastAsia="仿宋_GB2312"/>
          <w:sz w:val="24"/>
        </w:rPr>
        <w:t>，新建DN300-DN500雨水管网5.8km，新建DN600-DN1000雨水管网8.4km，新建DN300-DN500污水管网12.6km，新建DN600-DN1000污水管网13.4km，新建DN100-DN200污水入户管48.3km）。</w:t>
      </w:r>
      <w:r>
        <w:rPr>
          <w:rFonts w:hint="eastAsia" w:ascii="仿宋_GB2312" w:eastAsia="仿宋_GB2312"/>
          <w:sz w:val="24"/>
        </w:rPr>
        <w:t>最终以实际设计和实施内容为准。</w:t>
      </w:r>
    </w:p>
    <w:p w14:paraId="43E95B9F">
      <w:pPr>
        <w:spacing w:line="360" w:lineRule="auto"/>
        <w:ind w:firstLine="480" w:firstLineChars="200"/>
        <w:jc w:val="both"/>
        <w:rPr>
          <w:rFonts w:ascii="仿宋_GB2312" w:eastAsia="仿宋_GB2312"/>
          <w:sz w:val="24"/>
        </w:rPr>
      </w:pPr>
      <w:r>
        <w:rPr>
          <w:rFonts w:ascii="仿宋_GB2312" w:eastAsia="仿宋_GB2312"/>
          <w:sz w:val="24"/>
        </w:rPr>
        <w:t>本项目工程总投资为35869.21万元，第一部分工程费用为31187.73万元，第二部分工程建设其他费用为2973.43万元，第三部分工程预备费用为1708.06万元。</w:t>
      </w:r>
    </w:p>
    <w:p w14:paraId="4D92EB5A">
      <w:pPr>
        <w:pStyle w:val="3"/>
      </w:pPr>
      <w:r>
        <w:rPr>
          <w:rFonts w:hint="eastAsia"/>
        </w:rPr>
        <w:t>二、设计依据</w:t>
      </w:r>
    </w:p>
    <w:p w14:paraId="31852EB7">
      <w:pPr>
        <w:pStyle w:val="31"/>
        <w:numPr>
          <w:ilvl w:val="0"/>
          <w:numId w:val="1"/>
        </w:numPr>
        <w:spacing w:line="360" w:lineRule="auto"/>
        <w:ind w:left="924" w:hanging="442"/>
        <w:rPr>
          <w:rFonts w:ascii="仿宋_GB2312" w:eastAsia="仿宋_GB2312"/>
          <w:sz w:val="24"/>
        </w:rPr>
      </w:pPr>
      <w:r>
        <w:rPr>
          <w:rFonts w:ascii="仿宋_GB2312" w:eastAsia="仿宋_GB2312"/>
          <w:sz w:val="24"/>
        </w:rPr>
        <w:t>中华人民共和国生态环境法典</w:t>
      </w:r>
      <w:r>
        <w:rPr>
          <w:rFonts w:hint="eastAsia" w:ascii="仿宋_GB2312" w:eastAsia="仿宋_GB2312"/>
          <w:sz w:val="24"/>
        </w:rPr>
        <w:t>（2026年8月15日起施行）</w:t>
      </w:r>
    </w:p>
    <w:p w14:paraId="4AD810D9">
      <w:pPr>
        <w:pStyle w:val="31"/>
        <w:numPr>
          <w:ilvl w:val="0"/>
          <w:numId w:val="1"/>
        </w:numPr>
        <w:spacing w:line="360" w:lineRule="auto"/>
        <w:ind w:left="924" w:hanging="442"/>
        <w:rPr>
          <w:rFonts w:ascii="仿宋_GB2312" w:eastAsia="仿宋_GB2312"/>
          <w:sz w:val="24"/>
        </w:rPr>
      </w:pPr>
      <w:r>
        <w:rPr>
          <w:rFonts w:hint="eastAsia" w:ascii="仿宋_GB2312" w:eastAsia="仿宋_GB2312"/>
          <w:sz w:val="24"/>
        </w:rPr>
        <w:t>《国务院关于全面加强生态环境保护坚决打好污染防治攻坚战的意见》(2018年6月16日)</w:t>
      </w:r>
    </w:p>
    <w:p w14:paraId="5E0B357D">
      <w:pPr>
        <w:pStyle w:val="31"/>
        <w:numPr>
          <w:ilvl w:val="0"/>
          <w:numId w:val="1"/>
        </w:numPr>
        <w:spacing w:line="360" w:lineRule="auto"/>
        <w:ind w:left="924" w:hanging="442"/>
        <w:rPr>
          <w:rFonts w:ascii="仿宋_GB2312" w:eastAsia="仿宋_GB2312"/>
          <w:sz w:val="24"/>
        </w:rPr>
      </w:pPr>
      <w:r>
        <w:rPr>
          <w:rFonts w:hint="eastAsia" w:ascii="仿宋_GB2312" w:eastAsia="仿宋_GB2312"/>
          <w:sz w:val="24"/>
        </w:rPr>
        <w:t>《住房和城乡建设部生态环境部发展和改革委关于印发城镇污水处理提质增效三年行动方案（2019-2021年）的通知》（建城〔2019〕52号)</w:t>
      </w:r>
    </w:p>
    <w:p w14:paraId="6F0FE263">
      <w:pPr>
        <w:pStyle w:val="31"/>
        <w:numPr>
          <w:ilvl w:val="0"/>
          <w:numId w:val="1"/>
        </w:numPr>
        <w:spacing w:line="360" w:lineRule="auto"/>
        <w:ind w:left="924" w:hanging="442"/>
        <w:rPr>
          <w:rFonts w:ascii="仿宋_GB2312" w:eastAsia="仿宋_GB2312"/>
          <w:sz w:val="24"/>
        </w:rPr>
      </w:pPr>
      <w:r>
        <w:rPr>
          <w:rFonts w:hint="eastAsia" w:ascii="仿宋_GB2312" w:eastAsia="仿宋_GB2312"/>
          <w:sz w:val="24"/>
        </w:rPr>
        <w:t>《国家发展和改革委住房和城乡建设部关于印发城镇生活污水处理设施补短板强弱项实施方案的通知》（发改环资〔2020〕1234号)</w:t>
      </w:r>
    </w:p>
    <w:p w14:paraId="1509D13C">
      <w:pPr>
        <w:pStyle w:val="31"/>
        <w:numPr>
          <w:ilvl w:val="0"/>
          <w:numId w:val="1"/>
        </w:numPr>
        <w:spacing w:line="360" w:lineRule="auto"/>
        <w:ind w:left="924" w:hanging="442"/>
        <w:rPr>
          <w:rFonts w:ascii="仿宋_GB2312" w:eastAsia="仿宋_GB2312"/>
          <w:sz w:val="24"/>
        </w:rPr>
      </w:pPr>
      <w:r>
        <w:rPr>
          <w:rFonts w:hint="eastAsia" w:ascii="仿宋_GB2312" w:eastAsia="仿宋_GB2312"/>
          <w:sz w:val="24"/>
        </w:rPr>
        <w:t>室外排水设计规范（GB 50014-2021）</w:t>
      </w:r>
    </w:p>
    <w:p w14:paraId="77E77F63">
      <w:pPr>
        <w:pStyle w:val="31"/>
        <w:numPr>
          <w:ilvl w:val="0"/>
          <w:numId w:val="1"/>
        </w:numPr>
        <w:spacing w:line="360" w:lineRule="auto"/>
        <w:ind w:left="924" w:hanging="442"/>
        <w:rPr>
          <w:rFonts w:ascii="仿宋_GB2312" w:eastAsia="仿宋_GB2312"/>
          <w:sz w:val="24"/>
        </w:rPr>
      </w:pPr>
      <w:r>
        <w:rPr>
          <w:rFonts w:ascii="仿宋_GB2312" w:eastAsia="仿宋_GB2312"/>
          <w:sz w:val="24"/>
        </w:rPr>
        <w:t>城乡排水工程项目规范</w:t>
      </w:r>
      <w:r>
        <w:rPr>
          <w:rFonts w:hint="eastAsia" w:ascii="仿宋_GB2312" w:eastAsia="仿宋_GB2312"/>
          <w:sz w:val="24"/>
        </w:rPr>
        <w:t>（</w:t>
      </w:r>
      <w:r>
        <w:rPr>
          <w:rFonts w:ascii="仿宋_GB2312" w:eastAsia="仿宋_GB2312"/>
          <w:sz w:val="24"/>
        </w:rPr>
        <w:t>GB 55027-2022</w:t>
      </w:r>
      <w:r>
        <w:rPr>
          <w:rFonts w:hint="eastAsia" w:ascii="仿宋_GB2312" w:eastAsia="仿宋_GB2312"/>
          <w:sz w:val="24"/>
        </w:rPr>
        <w:t>）</w:t>
      </w:r>
    </w:p>
    <w:p w14:paraId="734FD55B">
      <w:pPr>
        <w:pStyle w:val="31"/>
        <w:numPr>
          <w:ilvl w:val="0"/>
          <w:numId w:val="1"/>
        </w:numPr>
        <w:spacing w:line="360" w:lineRule="auto"/>
        <w:ind w:left="924" w:hanging="442"/>
        <w:rPr>
          <w:rFonts w:ascii="仿宋_GB2312" w:eastAsia="仿宋_GB2312"/>
          <w:sz w:val="24"/>
        </w:rPr>
      </w:pPr>
      <w:r>
        <w:rPr>
          <w:rFonts w:ascii="仿宋_GB2312" w:eastAsia="仿宋_GB2312"/>
          <w:sz w:val="24"/>
        </w:rPr>
        <w:t>城市排水工程规划规范</w:t>
      </w:r>
      <w:r>
        <w:rPr>
          <w:rFonts w:hint="eastAsia" w:ascii="仿宋_GB2312" w:eastAsia="仿宋_GB2312"/>
          <w:sz w:val="24"/>
        </w:rPr>
        <w:t>（</w:t>
      </w:r>
      <w:r>
        <w:rPr>
          <w:rFonts w:ascii="仿宋_GB2312" w:eastAsia="仿宋_GB2312"/>
          <w:sz w:val="24"/>
        </w:rPr>
        <w:t>GB50318-2017</w:t>
      </w:r>
      <w:r>
        <w:rPr>
          <w:rFonts w:hint="eastAsia" w:ascii="仿宋_GB2312" w:eastAsia="仿宋_GB2312"/>
          <w:sz w:val="24"/>
        </w:rPr>
        <w:t>）</w:t>
      </w:r>
    </w:p>
    <w:p w14:paraId="465D5153">
      <w:pPr>
        <w:pStyle w:val="31"/>
        <w:numPr>
          <w:ilvl w:val="0"/>
          <w:numId w:val="1"/>
        </w:numPr>
        <w:spacing w:line="360" w:lineRule="auto"/>
        <w:ind w:left="924" w:hanging="442"/>
        <w:rPr>
          <w:rFonts w:ascii="仿宋_GB2312" w:eastAsia="仿宋_GB2312"/>
          <w:sz w:val="24"/>
        </w:rPr>
      </w:pPr>
      <w:r>
        <w:rPr>
          <w:rFonts w:ascii="仿宋_GB2312" w:eastAsia="仿宋_GB2312"/>
          <w:sz w:val="24"/>
        </w:rPr>
        <w:t>城市排水防涝设施数据采集与维护技术规范</w:t>
      </w:r>
      <w:r>
        <w:rPr>
          <w:rFonts w:hint="eastAsia" w:ascii="仿宋_GB2312" w:eastAsia="仿宋_GB2312"/>
          <w:sz w:val="24"/>
        </w:rPr>
        <w:t>（</w:t>
      </w:r>
      <w:r>
        <w:rPr>
          <w:rFonts w:ascii="仿宋_GB2312" w:eastAsia="仿宋_GB2312"/>
          <w:sz w:val="24"/>
        </w:rPr>
        <w:t>GB/T 51187-2016</w:t>
      </w:r>
      <w:r>
        <w:rPr>
          <w:rFonts w:hint="eastAsia" w:ascii="仿宋_GB2312" w:eastAsia="仿宋_GB2312"/>
          <w:sz w:val="24"/>
        </w:rPr>
        <w:t>）</w:t>
      </w:r>
    </w:p>
    <w:p w14:paraId="05E2F1DE">
      <w:pPr>
        <w:pStyle w:val="31"/>
        <w:numPr>
          <w:ilvl w:val="0"/>
          <w:numId w:val="1"/>
        </w:numPr>
        <w:spacing w:line="360" w:lineRule="auto"/>
        <w:ind w:left="924" w:hanging="442"/>
        <w:rPr>
          <w:rFonts w:ascii="仿宋_GB2312" w:eastAsia="仿宋_GB2312"/>
          <w:sz w:val="24"/>
        </w:rPr>
      </w:pPr>
      <w:r>
        <w:rPr>
          <w:rFonts w:hint="eastAsia" w:ascii="仿宋_GB2312" w:eastAsia="仿宋_GB2312"/>
          <w:sz w:val="24"/>
        </w:rPr>
        <w:t>城市防洪工程设计规范（GB/T 50805-2012）</w:t>
      </w:r>
    </w:p>
    <w:p w14:paraId="6E65856C">
      <w:pPr>
        <w:pStyle w:val="31"/>
        <w:numPr>
          <w:ilvl w:val="0"/>
          <w:numId w:val="1"/>
        </w:numPr>
        <w:spacing w:line="360" w:lineRule="auto"/>
        <w:ind w:left="924" w:hanging="442"/>
        <w:rPr>
          <w:rFonts w:ascii="仿宋_GB2312" w:eastAsia="仿宋_GB2312"/>
          <w:sz w:val="24"/>
        </w:rPr>
      </w:pPr>
      <w:r>
        <w:rPr>
          <w:rFonts w:hint="eastAsia" w:ascii="仿宋_GB2312" w:eastAsia="仿宋_GB2312"/>
          <w:sz w:val="24"/>
        </w:rPr>
        <w:t>城市防洪规划规范（GB 51079-2016）</w:t>
      </w:r>
    </w:p>
    <w:p w14:paraId="47BC6DC8">
      <w:pPr>
        <w:pStyle w:val="31"/>
        <w:numPr>
          <w:ilvl w:val="0"/>
          <w:numId w:val="1"/>
        </w:numPr>
        <w:spacing w:line="360" w:lineRule="auto"/>
        <w:ind w:left="924" w:hanging="442"/>
        <w:rPr>
          <w:rFonts w:ascii="仿宋_GB2312" w:eastAsia="仿宋_GB2312"/>
          <w:sz w:val="24"/>
        </w:rPr>
      </w:pPr>
      <w:r>
        <w:rPr>
          <w:rFonts w:hint="eastAsia" w:ascii="仿宋_GB2312" w:eastAsia="仿宋_GB2312"/>
          <w:sz w:val="24"/>
        </w:rPr>
        <w:t>防洪标准（GB 50201-2014）</w:t>
      </w:r>
    </w:p>
    <w:p w14:paraId="3CA55B41">
      <w:pPr>
        <w:pStyle w:val="31"/>
        <w:numPr>
          <w:ilvl w:val="0"/>
          <w:numId w:val="1"/>
        </w:numPr>
        <w:spacing w:line="360" w:lineRule="auto"/>
        <w:ind w:left="924" w:hanging="442"/>
        <w:rPr>
          <w:rFonts w:ascii="仿宋_GB2312" w:eastAsia="仿宋_GB2312"/>
          <w:sz w:val="24"/>
        </w:rPr>
      </w:pPr>
      <w:r>
        <w:rPr>
          <w:rFonts w:ascii="仿宋_GB2312" w:eastAsia="仿宋_GB2312"/>
          <w:sz w:val="24"/>
        </w:rPr>
        <w:t>埋地塑料排水管道工程技术规程</w:t>
      </w:r>
      <w:r>
        <w:rPr>
          <w:rFonts w:hint="eastAsia" w:ascii="仿宋_GB2312" w:eastAsia="仿宋_GB2312"/>
          <w:sz w:val="24"/>
        </w:rPr>
        <w:t>（</w:t>
      </w:r>
      <w:r>
        <w:rPr>
          <w:rFonts w:ascii="仿宋_GB2312" w:eastAsia="仿宋_GB2312"/>
          <w:sz w:val="24"/>
        </w:rPr>
        <w:t>CJJ 143-2010</w:t>
      </w:r>
      <w:r>
        <w:rPr>
          <w:rFonts w:hint="eastAsia" w:ascii="仿宋_GB2312" w:eastAsia="仿宋_GB2312"/>
          <w:sz w:val="24"/>
        </w:rPr>
        <w:t>）</w:t>
      </w:r>
    </w:p>
    <w:p w14:paraId="5D56EBB0">
      <w:pPr>
        <w:pStyle w:val="31"/>
        <w:numPr>
          <w:ilvl w:val="0"/>
          <w:numId w:val="1"/>
        </w:numPr>
        <w:spacing w:line="360" w:lineRule="auto"/>
        <w:ind w:left="924" w:hanging="442"/>
        <w:rPr>
          <w:rFonts w:ascii="仿宋_GB2312" w:eastAsia="仿宋_GB2312"/>
          <w:sz w:val="24"/>
        </w:rPr>
      </w:pPr>
      <w:r>
        <w:rPr>
          <w:rFonts w:ascii="仿宋_GB2312" w:eastAsia="仿宋_GB2312"/>
          <w:sz w:val="24"/>
        </w:rPr>
        <w:t>埋地聚乙烯排水管管道工程技术规程</w:t>
      </w:r>
      <w:r>
        <w:rPr>
          <w:rFonts w:hint="eastAsia" w:ascii="仿宋_GB2312" w:eastAsia="仿宋_GB2312"/>
          <w:sz w:val="24"/>
        </w:rPr>
        <w:t>（</w:t>
      </w:r>
      <w:r>
        <w:rPr>
          <w:rFonts w:ascii="仿宋_GB2312" w:eastAsia="仿宋_GB2312"/>
          <w:sz w:val="24"/>
        </w:rPr>
        <w:t>CECS 164：2004</w:t>
      </w:r>
      <w:r>
        <w:rPr>
          <w:rFonts w:hint="eastAsia" w:ascii="仿宋_GB2312" w:eastAsia="仿宋_GB2312"/>
          <w:sz w:val="24"/>
        </w:rPr>
        <w:t>）</w:t>
      </w:r>
    </w:p>
    <w:p w14:paraId="70A8F445">
      <w:pPr>
        <w:pStyle w:val="31"/>
        <w:numPr>
          <w:ilvl w:val="0"/>
          <w:numId w:val="1"/>
        </w:numPr>
        <w:spacing w:line="360" w:lineRule="auto"/>
        <w:ind w:left="924" w:hanging="442"/>
        <w:rPr>
          <w:rFonts w:ascii="仿宋_GB2312" w:eastAsia="仿宋_GB2312"/>
          <w:sz w:val="24"/>
        </w:rPr>
      </w:pPr>
      <w:r>
        <w:rPr>
          <w:rFonts w:ascii="仿宋_GB2312" w:eastAsia="仿宋_GB2312"/>
          <w:sz w:val="24"/>
        </w:rPr>
        <w:t>岩土工程勘察规范(GB</w:t>
      </w:r>
      <w:r>
        <w:rPr>
          <w:rFonts w:hint="eastAsia" w:ascii="仿宋_GB2312" w:eastAsia="仿宋_GB2312"/>
          <w:sz w:val="24"/>
        </w:rPr>
        <w:t xml:space="preserve"> </w:t>
      </w:r>
      <w:r>
        <w:rPr>
          <w:rFonts w:ascii="仿宋_GB2312" w:eastAsia="仿宋_GB2312"/>
          <w:sz w:val="24"/>
        </w:rPr>
        <w:t>50021-2001)（2009年版）</w:t>
      </w:r>
    </w:p>
    <w:p w14:paraId="53133A83">
      <w:pPr>
        <w:pStyle w:val="31"/>
        <w:numPr>
          <w:ilvl w:val="0"/>
          <w:numId w:val="1"/>
        </w:numPr>
        <w:spacing w:line="360" w:lineRule="auto"/>
        <w:ind w:left="924" w:hanging="442"/>
        <w:rPr>
          <w:rFonts w:ascii="仿宋_GB2312" w:eastAsia="仿宋_GB2312"/>
          <w:sz w:val="24"/>
        </w:rPr>
      </w:pPr>
      <w:r>
        <w:rPr>
          <w:rFonts w:hint="eastAsia" w:ascii="仿宋_GB2312" w:eastAsia="仿宋_GB2312"/>
          <w:sz w:val="24"/>
        </w:rPr>
        <w:t>恶臭污染物排放标准（GB 14554-93）</w:t>
      </w:r>
    </w:p>
    <w:p w14:paraId="1D7C806C">
      <w:pPr>
        <w:pStyle w:val="31"/>
        <w:numPr>
          <w:ilvl w:val="0"/>
          <w:numId w:val="1"/>
        </w:numPr>
        <w:spacing w:line="360" w:lineRule="auto"/>
        <w:ind w:left="924" w:hanging="442"/>
        <w:rPr>
          <w:rFonts w:ascii="仿宋_GB2312" w:eastAsia="仿宋_GB2312"/>
          <w:sz w:val="24"/>
        </w:rPr>
      </w:pPr>
      <w:r>
        <w:rPr>
          <w:rFonts w:hint="eastAsia" w:ascii="仿宋_GB2312" w:eastAsia="仿宋_GB2312"/>
          <w:sz w:val="24"/>
        </w:rPr>
        <w:t>工业厂界噪声标准（GB 12348-2008）</w:t>
      </w:r>
    </w:p>
    <w:p w14:paraId="4C576B7A">
      <w:pPr>
        <w:pStyle w:val="31"/>
        <w:numPr>
          <w:ilvl w:val="0"/>
          <w:numId w:val="1"/>
        </w:numPr>
        <w:spacing w:line="360" w:lineRule="auto"/>
        <w:ind w:left="924" w:hanging="442"/>
        <w:rPr>
          <w:rFonts w:ascii="仿宋_GB2312" w:eastAsia="仿宋_GB2312"/>
          <w:sz w:val="24"/>
        </w:rPr>
      </w:pPr>
      <w:r>
        <w:rPr>
          <w:rFonts w:hint="eastAsia" w:ascii="仿宋_GB2312" w:eastAsia="仿宋_GB2312"/>
          <w:sz w:val="24"/>
        </w:rPr>
        <w:t>工业企业设计卫生标准（GBZ 1-2010）</w:t>
      </w:r>
    </w:p>
    <w:p w14:paraId="50C302A8">
      <w:pPr>
        <w:pStyle w:val="31"/>
        <w:numPr>
          <w:ilvl w:val="0"/>
          <w:numId w:val="1"/>
        </w:numPr>
        <w:spacing w:line="360" w:lineRule="auto"/>
        <w:ind w:left="924" w:hanging="442"/>
        <w:rPr>
          <w:rFonts w:ascii="仿宋_GB2312" w:eastAsia="仿宋_GB2312"/>
          <w:sz w:val="24"/>
        </w:rPr>
      </w:pPr>
      <w:r>
        <w:rPr>
          <w:rFonts w:hint="eastAsia" w:ascii="仿宋_GB2312" w:eastAsia="仿宋_GB2312"/>
          <w:sz w:val="24"/>
        </w:rPr>
        <w:t>室外给水设计规范（GB 50013-2018）</w:t>
      </w:r>
    </w:p>
    <w:p w14:paraId="7EE300E0">
      <w:pPr>
        <w:pStyle w:val="31"/>
        <w:numPr>
          <w:ilvl w:val="0"/>
          <w:numId w:val="1"/>
        </w:numPr>
        <w:spacing w:line="360" w:lineRule="auto"/>
        <w:ind w:left="924" w:hanging="442"/>
        <w:rPr>
          <w:rFonts w:ascii="仿宋_GB2312" w:eastAsia="仿宋_GB2312"/>
          <w:sz w:val="24"/>
        </w:rPr>
      </w:pPr>
      <w:r>
        <w:rPr>
          <w:rFonts w:hint="eastAsia" w:ascii="仿宋_GB2312" w:eastAsia="仿宋_GB2312"/>
          <w:sz w:val="24"/>
        </w:rPr>
        <w:t>建筑给水排水设计规范（GB 50015-2019）</w:t>
      </w:r>
    </w:p>
    <w:p w14:paraId="31995E17">
      <w:pPr>
        <w:pStyle w:val="31"/>
        <w:numPr>
          <w:ilvl w:val="0"/>
          <w:numId w:val="1"/>
        </w:numPr>
        <w:spacing w:line="360" w:lineRule="auto"/>
        <w:ind w:left="924" w:hanging="442"/>
        <w:rPr>
          <w:rFonts w:ascii="仿宋_GB2312" w:eastAsia="仿宋_GB2312"/>
          <w:sz w:val="24"/>
        </w:rPr>
      </w:pPr>
      <w:r>
        <w:rPr>
          <w:rFonts w:hint="eastAsia" w:ascii="仿宋_GB2312" w:eastAsia="仿宋_GB2312"/>
          <w:sz w:val="24"/>
        </w:rPr>
        <w:t>广东省地方标准水污染物排放限值（DB 44/26-2001）</w:t>
      </w:r>
    </w:p>
    <w:p w14:paraId="3FB53734">
      <w:pPr>
        <w:pStyle w:val="31"/>
        <w:numPr>
          <w:ilvl w:val="0"/>
          <w:numId w:val="1"/>
        </w:numPr>
        <w:spacing w:line="360" w:lineRule="auto"/>
        <w:ind w:left="924" w:hanging="442"/>
        <w:rPr>
          <w:rFonts w:ascii="仿宋_GB2312" w:eastAsia="仿宋_GB2312"/>
          <w:sz w:val="24"/>
        </w:rPr>
      </w:pPr>
      <w:r>
        <w:rPr>
          <w:rFonts w:hint="eastAsia" w:ascii="仿宋_GB2312" w:eastAsia="仿宋_GB2312"/>
          <w:sz w:val="24"/>
        </w:rPr>
        <w:t>广东省地方标准大气污染物排放限值（DB 44/27-2001）</w:t>
      </w:r>
    </w:p>
    <w:p w14:paraId="06935D35">
      <w:pPr>
        <w:pStyle w:val="31"/>
        <w:numPr>
          <w:ilvl w:val="0"/>
          <w:numId w:val="1"/>
        </w:numPr>
        <w:spacing w:line="360" w:lineRule="auto"/>
        <w:ind w:left="924" w:hanging="442"/>
        <w:rPr>
          <w:rFonts w:ascii="仿宋_GB2312" w:eastAsia="仿宋_GB2312"/>
          <w:sz w:val="24"/>
        </w:rPr>
      </w:pPr>
      <w:r>
        <w:rPr>
          <w:rFonts w:hint="eastAsia" w:ascii="仿宋_GB2312" w:eastAsia="仿宋_GB2312"/>
          <w:sz w:val="24"/>
        </w:rPr>
        <w:t>低压配电设计规范</w:t>
      </w:r>
      <w:r>
        <w:rPr>
          <w:rFonts w:hint="eastAsia" w:ascii="仿宋_GB2312" w:eastAsia="仿宋_GB2312"/>
          <w:sz w:val="24"/>
        </w:rPr>
        <w:tab/>
      </w:r>
      <w:r>
        <w:rPr>
          <w:rFonts w:hint="eastAsia" w:ascii="仿宋_GB2312" w:eastAsia="仿宋_GB2312"/>
          <w:sz w:val="24"/>
        </w:rPr>
        <w:t>（GB 50054-2011）</w:t>
      </w:r>
    </w:p>
    <w:p w14:paraId="5E6B614A">
      <w:pPr>
        <w:pStyle w:val="31"/>
        <w:numPr>
          <w:ilvl w:val="0"/>
          <w:numId w:val="1"/>
        </w:numPr>
        <w:spacing w:line="360" w:lineRule="auto"/>
        <w:ind w:left="924" w:hanging="442"/>
        <w:rPr>
          <w:rFonts w:ascii="仿宋_GB2312" w:eastAsia="仿宋_GB2312"/>
          <w:sz w:val="24"/>
        </w:rPr>
      </w:pPr>
      <w:r>
        <w:rPr>
          <w:rFonts w:hint="eastAsia" w:ascii="仿宋_GB2312" w:eastAsia="仿宋_GB2312"/>
          <w:sz w:val="24"/>
        </w:rPr>
        <w:t>通用用电设备配电设计规范（GB 50055-2011）</w:t>
      </w:r>
    </w:p>
    <w:p w14:paraId="58804613">
      <w:pPr>
        <w:pStyle w:val="31"/>
        <w:numPr>
          <w:ilvl w:val="0"/>
          <w:numId w:val="1"/>
        </w:numPr>
        <w:spacing w:line="360" w:lineRule="auto"/>
        <w:ind w:left="924" w:hanging="442"/>
        <w:rPr>
          <w:rFonts w:ascii="仿宋_GB2312" w:eastAsia="仿宋_GB2312"/>
          <w:sz w:val="24"/>
        </w:rPr>
      </w:pPr>
      <w:r>
        <w:rPr>
          <w:rFonts w:hint="eastAsia" w:ascii="仿宋_GB2312" w:eastAsia="仿宋_GB2312"/>
          <w:sz w:val="24"/>
        </w:rPr>
        <w:t>建筑物防雷设计规范（GB 50057-2010）</w:t>
      </w:r>
    </w:p>
    <w:p w14:paraId="2DA57698">
      <w:pPr>
        <w:pStyle w:val="31"/>
        <w:numPr>
          <w:ilvl w:val="0"/>
          <w:numId w:val="1"/>
        </w:numPr>
        <w:spacing w:line="360" w:lineRule="auto"/>
        <w:ind w:left="924" w:hanging="442"/>
        <w:rPr>
          <w:rFonts w:ascii="仿宋_GB2312" w:eastAsia="仿宋_GB2312"/>
          <w:sz w:val="24"/>
        </w:rPr>
      </w:pPr>
      <w:r>
        <w:rPr>
          <w:rFonts w:hint="eastAsia" w:ascii="仿宋_GB2312" w:eastAsia="仿宋_GB2312"/>
          <w:sz w:val="24"/>
        </w:rPr>
        <w:t>供配电系统设计规范（GB 50052-2009）</w:t>
      </w:r>
    </w:p>
    <w:p w14:paraId="3FC37A1D">
      <w:pPr>
        <w:pStyle w:val="31"/>
        <w:numPr>
          <w:ilvl w:val="0"/>
          <w:numId w:val="1"/>
        </w:numPr>
        <w:spacing w:line="360" w:lineRule="auto"/>
        <w:ind w:left="924" w:hanging="442"/>
        <w:rPr>
          <w:rFonts w:ascii="仿宋_GB2312" w:eastAsia="仿宋_GB2312"/>
          <w:sz w:val="24"/>
        </w:rPr>
      </w:pPr>
      <w:r>
        <w:rPr>
          <w:rFonts w:hint="eastAsia" w:ascii="仿宋_GB2312" w:eastAsia="仿宋_GB2312"/>
          <w:sz w:val="24"/>
        </w:rPr>
        <w:t>爆炸和水灾危险环境电力装置设计规范（GB 50058-2014）</w:t>
      </w:r>
    </w:p>
    <w:p w14:paraId="49307CA8">
      <w:pPr>
        <w:pStyle w:val="31"/>
        <w:numPr>
          <w:ilvl w:val="0"/>
          <w:numId w:val="1"/>
        </w:numPr>
        <w:spacing w:line="360" w:lineRule="auto"/>
        <w:ind w:left="924" w:hanging="442"/>
        <w:rPr>
          <w:rFonts w:ascii="仿宋_GB2312" w:eastAsia="仿宋_GB2312"/>
          <w:sz w:val="24"/>
        </w:rPr>
      </w:pPr>
      <w:r>
        <w:rPr>
          <w:rFonts w:hint="eastAsia" w:ascii="仿宋_GB2312" w:eastAsia="仿宋_GB2312"/>
          <w:sz w:val="24"/>
        </w:rPr>
        <w:t>建筑结构荷载规范（GB 50009-2012）</w:t>
      </w:r>
    </w:p>
    <w:p w14:paraId="63F2C182">
      <w:pPr>
        <w:pStyle w:val="31"/>
        <w:numPr>
          <w:ilvl w:val="0"/>
          <w:numId w:val="1"/>
        </w:numPr>
        <w:spacing w:line="360" w:lineRule="auto"/>
        <w:ind w:left="924" w:hanging="442"/>
        <w:rPr>
          <w:rFonts w:ascii="仿宋_GB2312" w:eastAsia="仿宋_GB2312"/>
          <w:sz w:val="24"/>
        </w:rPr>
      </w:pPr>
      <w:r>
        <w:rPr>
          <w:rFonts w:hint="eastAsia" w:ascii="仿宋_GB2312" w:eastAsia="仿宋_GB2312"/>
          <w:sz w:val="24"/>
        </w:rPr>
        <w:t>《市政公用工程设计文件编制深度规定》（2025年版）</w:t>
      </w:r>
    </w:p>
    <w:p w14:paraId="49FF2994">
      <w:pPr>
        <w:pStyle w:val="3"/>
      </w:pPr>
      <w:r>
        <w:rPr>
          <w:rFonts w:hint="eastAsia"/>
        </w:rPr>
        <w:t>三、设计范围及成果</w:t>
      </w:r>
    </w:p>
    <w:p w14:paraId="67CCA1DF">
      <w:pPr>
        <w:spacing w:line="360" w:lineRule="auto"/>
        <w:ind w:firstLine="482" w:firstLineChars="200"/>
        <w:rPr>
          <w:rFonts w:ascii="仿宋_GB2312" w:eastAsia="仿宋_GB2312"/>
          <w:b/>
          <w:bCs/>
          <w:sz w:val="24"/>
        </w:rPr>
      </w:pPr>
      <w:r>
        <w:rPr>
          <w:rFonts w:hint="eastAsia" w:ascii="仿宋_GB2312" w:eastAsia="仿宋_GB2312"/>
          <w:b/>
          <w:bCs/>
          <w:sz w:val="24"/>
        </w:rPr>
        <w:t>1.工作范围</w:t>
      </w:r>
    </w:p>
    <w:p w14:paraId="1BF787A6">
      <w:pPr>
        <w:spacing w:line="360" w:lineRule="auto"/>
        <w:ind w:firstLine="480" w:firstLineChars="200"/>
        <w:jc w:val="both"/>
        <w:rPr>
          <w:rFonts w:ascii="仿宋_GB2312" w:eastAsia="仿宋_GB2312"/>
          <w:sz w:val="24"/>
        </w:rPr>
      </w:pPr>
      <w:r>
        <w:rPr>
          <w:rFonts w:hint="eastAsia" w:ascii="仿宋_GB2312" w:eastAsia="仿宋_GB2312"/>
          <w:sz w:val="24"/>
        </w:rPr>
        <w:t>本项目工作范围包</w:t>
      </w:r>
      <w:r>
        <w:rPr>
          <w:rFonts w:ascii="仿宋_GB2312" w:eastAsia="仿宋_GB2312"/>
          <w:sz w:val="24"/>
        </w:rPr>
        <w:t>怀集县城区易涝积水点排水防涝改造工程（三期）</w:t>
      </w:r>
      <w:r>
        <w:rPr>
          <w:rFonts w:hint="eastAsia" w:ascii="仿宋_GB2312" w:eastAsia="仿宋_GB2312"/>
          <w:sz w:val="24"/>
        </w:rPr>
        <w:t>工程地质勘察、工程测量、初步设计（含概算）、施工图设计、预算编制。具体设计内容包括给排水设计、结构设计、电气设计（如有涉及）</w:t>
      </w:r>
      <w:r>
        <w:rPr>
          <w:rFonts w:hint="eastAsia" w:ascii="仿宋_GB2312" w:eastAsia="仿宋_GB2312"/>
          <w:sz w:val="24"/>
          <w:lang w:eastAsia="zh-CN"/>
        </w:rPr>
        <w:t>、</w:t>
      </w:r>
      <w:r>
        <w:rPr>
          <w:rFonts w:hint="eastAsia" w:ascii="仿宋_GB2312" w:eastAsia="仿宋_GB2312"/>
          <w:sz w:val="24"/>
          <w:highlight w:val="yellow"/>
          <w:lang w:eastAsia="zh-CN"/>
        </w:rPr>
        <w:t>暴雨强度公式修编和暴雨雨型研究</w:t>
      </w:r>
      <w:r>
        <w:rPr>
          <w:rFonts w:hint="eastAsia" w:ascii="仿宋_GB2312" w:eastAsia="仿宋_GB2312"/>
          <w:sz w:val="24"/>
        </w:rPr>
        <w:t>等。</w:t>
      </w:r>
    </w:p>
    <w:p w14:paraId="7339162B">
      <w:pPr>
        <w:spacing w:line="360" w:lineRule="auto"/>
        <w:ind w:firstLine="482" w:firstLineChars="200"/>
        <w:jc w:val="both"/>
        <w:rPr>
          <w:rFonts w:ascii="仿宋_GB2312" w:eastAsia="仿宋_GB2312"/>
          <w:b/>
          <w:bCs/>
          <w:sz w:val="24"/>
        </w:rPr>
      </w:pPr>
      <w:r>
        <w:rPr>
          <w:rFonts w:hint="eastAsia" w:ascii="仿宋_GB2312" w:eastAsia="仿宋_GB2312"/>
          <w:b/>
          <w:bCs/>
          <w:sz w:val="24"/>
        </w:rPr>
        <w:t>2.工程测量</w:t>
      </w:r>
    </w:p>
    <w:p w14:paraId="5A3B2D06">
      <w:pPr>
        <w:spacing w:line="360" w:lineRule="auto"/>
        <w:ind w:firstLine="480" w:firstLineChars="200"/>
        <w:jc w:val="both"/>
        <w:rPr>
          <w:rFonts w:ascii="仿宋_GB2312" w:eastAsia="仿宋_GB2312"/>
          <w:sz w:val="24"/>
        </w:rPr>
      </w:pPr>
      <w:r>
        <w:rPr>
          <w:rFonts w:hint="eastAsia" w:ascii="仿宋_GB2312" w:eastAsia="仿宋_GB2312"/>
          <w:sz w:val="24"/>
        </w:rPr>
        <w:t>采用</w:t>
      </w:r>
      <w:r>
        <w:rPr>
          <w:rFonts w:ascii="仿宋_GB2312" w:eastAsia="仿宋_GB2312"/>
          <w:sz w:val="24"/>
        </w:rPr>
        <w:t>2000 国家大地坐标系，1985 国家高程基准。</w:t>
      </w:r>
      <w:r>
        <w:rPr>
          <w:rFonts w:hint="eastAsia" w:ascii="仿宋_GB2312" w:eastAsia="仿宋_GB2312"/>
          <w:sz w:val="24"/>
        </w:rPr>
        <w:t>按</w:t>
      </w:r>
      <w:r>
        <w:rPr>
          <w:rFonts w:ascii="仿宋_GB2312" w:eastAsia="仿宋_GB2312"/>
          <w:sz w:val="24"/>
        </w:rPr>
        <w:t>1:500数字化地形测图的精度和要求进行作业，对范围线内现有的建筑物、构筑物以及一些外露设施等的平面位置、标高等均进行准确测量，并在地形图上以相应的图式符号加以表示</w:t>
      </w:r>
      <w:r>
        <w:rPr>
          <w:rFonts w:hint="eastAsia" w:ascii="仿宋_GB2312" w:eastAsia="仿宋_GB2312"/>
          <w:sz w:val="24"/>
        </w:rPr>
        <w:t>，测量成果符合</w:t>
      </w:r>
      <w:r>
        <w:rPr>
          <w:rFonts w:ascii="仿宋_GB2312" w:eastAsia="仿宋_GB2312"/>
          <w:sz w:val="24"/>
        </w:rPr>
        <w:t>《工程测量规范》（GB</w:t>
      </w:r>
      <w:r>
        <w:rPr>
          <w:rFonts w:hint="eastAsia" w:ascii="仿宋_GB2312" w:eastAsia="仿宋_GB2312"/>
          <w:sz w:val="24"/>
        </w:rPr>
        <w:t xml:space="preserve"> </w:t>
      </w:r>
      <w:r>
        <w:rPr>
          <w:rFonts w:ascii="仿宋_GB2312" w:eastAsia="仿宋_GB2312"/>
          <w:sz w:val="24"/>
        </w:rPr>
        <w:t>50026</w:t>
      </w:r>
      <w:r>
        <w:rPr>
          <w:rFonts w:hint="eastAsia" w:ascii="仿宋_GB2312" w:eastAsia="仿宋_GB2312"/>
          <w:sz w:val="24"/>
        </w:rPr>
        <w:t>-</w:t>
      </w:r>
      <w:r>
        <w:rPr>
          <w:rFonts w:ascii="仿宋_GB2312" w:eastAsia="仿宋_GB2312"/>
          <w:sz w:val="24"/>
        </w:rPr>
        <w:t>2</w:t>
      </w:r>
      <w:r>
        <w:rPr>
          <w:rFonts w:hint="eastAsia" w:ascii="仿宋_GB2312" w:eastAsia="仿宋_GB2312"/>
          <w:sz w:val="24"/>
        </w:rPr>
        <w:t>020</w:t>
      </w:r>
      <w:r>
        <w:rPr>
          <w:rFonts w:ascii="仿宋_GB2312" w:eastAsia="仿宋_GB2312"/>
          <w:sz w:val="24"/>
        </w:rPr>
        <w:t>）</w:t>
      </w:r>
      <w:r>
        <w:rPr>
          <w:rFonts w:hint="eastAsia" w:ascii="仿宋_GB2312" w:eastAsia="仿宋_GB2312"/>
          <w:sz w:val="24"/>
        </w:rPr>
        <w:t>、</w:t>
      </w:r>
      <w:r>
        <w:rPr>
          <w:rFonts w:ascii="仿宋_GB2312" w:eastAsia="仿宋_GB2312"/>
          <w:sz w:val="24"/>
        </w:rPr>
        <w:t>《国家基本比例尺地图图式 第1部分：1:500 1:1 000 1:2 000地形图图式》（GB/T 20257.1-2017）</w:t>
      </w:r>
      <w:r>
        <w:rPr>
          <w:rFonts w:hint="eastAsia" w:ascii="仿宋_GB2312" w:eastAsia="仿宋_GB2312"/>
          <w:sz w:val="24"/>
        </w:rPr>
        <w:t>。</w:t>
      </w:r>
    </w:p>
    <w:p w14:paraId="66C082DE">
      <w:pPr>
        <w:spacing w:line="360" w:lineRule="auto"/>
        <w:ind w:firstLine="480" w:firstLineChars="200"/>
        <w:jc w:val="both"/>
        <w:rPr>
          <w:rFonts w:ascii="仿宋_GB2312" w:eastAsia="仿宋_GB2312"/>
          <w:sz w:val="24"/>
        </w:rPr>
      </w:pPr>
      <w:r>
        <w:rPr>
          <w:rFonts w:hint="eastAsia" w:ascii="仿宋_GB2312" w:eastAsia="仿宋_GB2312"/>
          <w:sz w:val="24"/>
        </w:rPr>
        <w:t>(1)成片居民地需准确的测量其外围轮廓，房屋的轮廓应以墙基外角为准，可适当的综合取舍。</w:t>
      </w:r>
      <w:bookmarkStart w:id="0" w:name="_GoBack"/>
      <w:bookmarkEnd w:id="0"/>
    </w:p>
    <w:p w14:paraId="02697843">
      <w:pPr>
        <w:spacing w:line="360" w:lineRule="auto"/>
        <w:ind w:firstLine="480" w:firstLineChars="200"/>
        <w:jc w:val="both"/>
        <w:rPr>
          <w:rFonts w:ascii="仿宋_GB2312" w:eastAsia="仿宋_GB2312"/>
          <w:sz w:val="24"/>
        </w:rPr>
      </w:pPr>
      <w:r>
        <w:rPr>
          <w:rFonts w:hint="eastAsia" w:ascii="仿宋_GB2312" w:eastAsia="仿宋_GB2312"/>
          <w:sz w:val="24"/>
        </w:rPr>
        <w:t>(2)测区内已经建成的水泥路均应实测，准确测量其宽度，并标注路面高程。</w:t>
      </w:r>
    </w:p>
    <w:p w14:paraId="1580A363">
      <w:pPr>
        <w:spacing w:line="360" w:lineRule="auto"/>
        <w:ind w:firstLine="480" w:firstLineChars="200"/>
        <w:jc w:val="both"/>
        <w:rPr>
          <w:rFonts w:ascii="仿宋_GB2312" w:eastAsia="仿宋_GB2312"/>
          <w:sz w:val="24"/>
        </w:rPr>
      </w:pPr>
      <w:r>
        <w:rPr>
          <w:rFonts w:hint="eastAsia" w:ascii="仿宋_GB2312" w:eastAsia="仿宋_GB2312"/>
          <w:sz w:val="24"/>
        </w:rPr>
        <w:t>(3)管线及其附属（如：输电线、配电线、通讯线等）只需测量构成网的管线线路。</w:t>
      </w:r>
    </w:p>
    <w:p w14:paraId="72AF884E">
      <w:pPr>
        <w:spacing w:line="360" w:lineRule="auto"/>
        <w:ind w:firstLine="480" w:firstLineChars="200"/>
        <w:jc w:val="both"/>
        <w:rPr>
          <w:rFonts w:ascii="仿宋_GB2312" w:eastAsia="仿宋_GB2312"/>
          <w:sz w:val="24"/>
        </w:rPr>
      </w:pPr>
      <w:r>
        <w:rPr>
          <w:rFonts w:hint="eastAsia" w:ascii="仿宋_GB2312" w:eastAsia="仿宋_GB2312"/>
          <w:sz w:val="24"/>
        </w:rPr>
        <w:t>最终以勘察测量任务书要求为准。</w:t>
      </w:r>
    </w:p>
    <w:p w14:paraId="51AC9E9C">
      <w:pPr>
        <w:spacing w:line="360" w:lineRule="auto"/>
        <w:ind w:firstLine="482" w:firstLineChars="200"/>
        <w:jc w:val="both"/>
        <w:rPr>
          <w:rFonts w:ascii="仿宋_GB2312" w:eastAsia="仿宋_GB2312"/>
          <w:b/>
          <w:bCs/>
          <w:sz w:val="24"/>
        </w:rPr>
      </w:pPr>
      <w:r>
        <w:rPr>
          <w:rFonts w:hint="eastAsia" w:ascii="仿宋_GB2312" w:eastAsia="仿宋_GB2312"/>
          <w:b/>
          <w:bCs/>
          <w:sz w:val="24"/>
        </w:rPr>
        <w:t>3.工程地质勘察</w:t>
      </w:r>
    </w:p>
    <w:p w14:paraId="49EB8095">
      <w:pPr>
        <w:spacing w:line="360" w:lineRule="auto"/>
        <w:ind w:firstLine="480" w:firstLineChars="200"/>
        <w:jc w:val="both"/>
        <w:rPr>
          <w:rFonts w:ascii="仿宋_GB2312" w:eastAsia="仿宋_GB2312"/>
          <w:sz w:val="24"/>
        </w:rPr>
      </w:pPr>
      <w:r>
        <w:rPr>
          <w:rFonts w:ascii="仿宋_GB2312" w:eastAsia="仿宋_GB2312"/>
          <w:sz w:val="24"/>
        </w:rPr>
        <w:t>勘察工作必须执行国家最新的强制标准和国家或行业的最新的规范，必须满足设计部门的技术要求，为工程设计提供可靠、准确、详细的地质资料，以满足施工图设计的需要，为工程设计及施工提出合理化建议和措施。勘察要求应符合《市政工程勘察规范》(CJJ</w:t>
      </w:r>
      <w:r>
        <w:rPr>
          <w:rFonts w:hint="eastAsia" w:ascii="仿宋_GB2312" w:eastAsia="仿宋_GB2312"/>
          <w:sz w:val="24"/>
        </w:rPr>
        <w:t xml:space="preserve"> </w:t>
      </w:r>
      <w:r>
        <w:rPr>
          <w:rFonts w:ascii="仿宋_GB2312" w:eastAsia="仿宋_GB2312"/>
          <w:sz w:val="24"/>
        </w:rPr>
        <w:t>56-2012)有关规定及相关规程规范</w:t>
      </w:r>
      <w:r>
        <w:rPr>
          <w:rFonts w:hint="eastAsia" w:ascii="仿宋_GB2312" w:eastAsia="仿宋_GB2312"/>
          <w:sz w:val="24"/>
        </w:rPr>
        <w:t>。</w:t>
      </w:r>
    </w:p>
    <w:p w14:paraId="7C5D57D0">
      <w:pPr>
        <w:spacing w:line="360" w:lineRule="auto"/>
        <w:ind w:firstLine="480" w:firstLineChars="200"/>
        <w:jc w:val="both"/>
        <w:rPr>
          <w:rFonts w:ascii="仿宋_GB2312" w:eastAsia="仿宋_GB2312"/>
          <w:sz w:val="24"/>
        </w:rPr>
      </w:pPr>
      <w:r>
        <w:rPr>
          <w:rFonts w:hint="eastAsia" w:ascii="仿宋_GB2312" w:eastAsia="仿宋_GB2312"/>
          <w:sz w:val="24"/>
        </w:rPr>
        <w:t>最终以勘察测量任务书要求为准。</w:t>
      </w:r>
    </w:p>
    <w:p w14:paraId="15046B1B">
      <w:pPr>
        <w:spacing w:line="360" w:lineRule="auto"/>
        <w:ind w:firstLine="482" w:firstLineChars="200"/>
        <w:rPr>
          <w:rFonts w:ascii="仿宋_GB2312" w:eastAsia="仿宋_GB2312"/>
          <w:b/>
          <w:bCs/>
          <w:sz w:val="24"/>
        </w:rPr>
      </w:pPr>
      <w:r>
        <w:rPr>
          <w:rFonts w:hint="eastAsia" w:ascii="仿宋_GB2312" w:eastAsia="仿宋_GB2312"/>
          <w:b/>
          <w:bCs/>
          <w:sz w:val="24"/>
        </w:rPr>
        <w:t>4.初步设计（含概算）</w:t>
      </w:r>
    </w:p>
    <w:p w14:paraId="51F52F06">
      <w:pPr>
        <w:spacing w:line="360" w:lineRule="auto"/>
        <w:ind w:firstLine="480" w:firstLineChars="200"/>
        <w:jc w:val="both"/>
        <w:rPr>
          <w:rFonts w:ascii="仿宋_GB2312" w:eastAsia="仿宋_GB2312"/>
          <w:sz w:val="24"/>
        </w:rPr>
      </w:pPr>
      <w:r>
        <w:rPr>
          <w:rFonts w:ascii="仿宋_GB2312" w:eastAsia="仿宋_GB2312"/>
          <w:sz w:val="24"/>
        </w:rPr>
        <w:t>需出具全套完整、规范的初步设计</w:t>
      </w:r>
      <w:r>
        <w:rPr>
          <w:rFonts w:hint="eastAsia" w:ascii="仿宋_GB2312" w:eastAsia="仿宋_GB2312"/>
          <w:sz w:val="24"/>
        </w:rPr>
        <w:t>成果</w:t>
      </w:r>
      <w:r>
        <w:rPr>
          <w:rFonts w:ascii="仿宋_GB2312" w:eastAsia="仿宋_GB2312"/>
          <w:sz w:val="24"/>
        </w:rPr>
        <w:t>，</w:t>
      </w:r>
      <w:r>
        <w:rPr>
          <w:rFonts w:hint="eastAsia" w:ascii="仿宋_GB2312" w:eastAsia="仿宋_GB2312"/>
          <w:sz w:val="24"/>
        </w:rPr>
        <w:t>设计内容</w:t>
      </w:r>
      <w:r>
        <w:rPr>
          <w:rFonts w:ascii="仿宋_GB2312" w:eastAsia="仿宋_GB2312"/>
          <w:sz w:val="24"/>
        </w:rPr>
        <w:t>主要包含：</w:t>
      </w:r>
      <w:r>
        <w:rPr>
          <w:rFonts w:hint="eastAsia" w:ascii="仿宋_GB2312" w:eastAsia="仿宋_GB2312"/>
          <w:sz w:val="24"/>
        </w:rPr>
        <w:t>设计说明、管网平面布置、</w:t>
      </w:r>
      <w:r>
        <w:rPr>
          <w:rFonts w:ascii="仿宋_GB2312" w:eastAsia="仿宋_GB2312"/>
          <w:sz w:val="24"/>
        </w:rPr>
        <w:t>管网纵断面图、关键节点大样图、主要附属设施布置</w:t>
      </w:r>
      <w:r>
        <w:rPr>
          <w:rFonts w:hint="eastAsia" w:ascii="仿宋_GB2312" w:eastAsia="仿宋_GB2312"/>
          <w:sz w:val="24"/>
        </w:rPr>
        <w:t>等。包含给排水、结构、电气（如有涉及）等专业的设计内容。图</w:t>
      </w:r>
      <w:r>
        <w:rPr>
          <w:rFonts w:ascii="仿宋_GB2312" w:eastAsia="仿宋_GB2312"/>
          <w:sz w:val="24"/>
        </w:rPr>
        <w:t>纸深度符合《市政公用工程设计文件编制深度规定》（2025年版）</w:t>
      </w:r>
      <w:r>
        <w:rPr>
          <w:rFonts w:hint="eastAsia" w:ascii="仿宋_GB2312" w:eastAsia="仿宋_GB2312"/>
          <w:sz w:val="24"/>
        </w:rPr>
        <w:t>，并</w:t>
      </w:r>
      <w:r>
        <w:rPr>
          <w:rFonts w:ascii="仿宋_GB2312" w:eastAsia="仿宋_GB2312"/>
          <w:sz w:val="24"/>
        </w:rPr>
        <w:t>严格依据现行</w:t>
      </w:r>
      <w:r>
        <w:rPr>
          <w:rFonts w:hint="eastAsia" w:ascii="仿宋_GB2312" w:eastAsia="仿宋_GB2312"/>
          <w:sz w:val="24"/>
        </w:rPr>
        <w:t>国家及</w:t>
      </w:r>
      <w:r>
        <w:rPr>
          <w:rFonts w:ascii="仿宋_GB2312" w:eastAsia="仿宋_GB2312"/>
          <w:sz w:val="24"/>
        </w:rPr>
        <w:t>省市市政工程计价定额、取费标准、材料价格信息、政策性调价文件，结合初步设计</w:t>
      </w:r>
      <w:r>
        <w:rPr>
          <w:rFonts w:hint="eastAsia" w:ascii="仿宋_GB2312" w:eastAsia="仿宋_GB2312"/>
          <w:sz w:val="24"/>
        </w:rPr>
        <w:t>图纸内容</w:t>
      </w:r>
      <w:r>
        <w:rPr>
          <w:rFonts w:ascii="仿宋_GB2312" w:eastAsia="仿宋_GB2312"/>
          <w:sz w:val="24"/>
        </w:rPr>
        <w:t>，精准编制项目总概算及分项概算。</w:t>
      </w:r>
    </w:p>
    <w:p w14:paraId="6B3F3044">
      <w:pPr>
        <w:spacing w:line="360" w:lineRule="auto"/>
        <w:ind w:firstLine="482" w:firstLineChars="200"/>
        <w:rPr>
          <w:rFonts w:ascii="仿宋_GB2312" w:eastAsia="仿宋_GB2312"/>
          <w:b/>
          <w:bCs/>
          <w:sz w:val="24"/>
        </w:rPr>
      </w:pPr>
      <w:r>
        <w:rPr>
          <w:rFonts w:hint="eastAsia" w:ascii="仿宋_GB2312" w:eastAsia="仿宋_GB2312"/>
          <w:b/>
          <w:bCs/>
          <w:sz w:val="24"/>
        </w:rPr>
        <w:t>5.施工图设计</w:t>
      </w:r>
    </w:p>
    <w:p w14:paraId="5AF8C6DB">
      <w:pPr>
        <w:spacing w:line="360" w:lineRule="auto"/>
        <w:ind w:firstLine="480" w:firstLineChars="200"/>
        <w:rPr>
          <w:rFonts w:ascii="仿宋_GB2312" w:eastAsia="仿宋_GB2312"/>
          <w:sz w:val="24"/>
        </w:rPr>
      </w:pPr>
      <w:r>
        <w:rPr>
          <w:rFonts w:ascii="仿宋_GB2312" w:eastAsia="仿宋_GB2312"/>
          <w:sz w:val="24"/>
        </w:rPr>
        <w:t>全面细化管网平面、纵断面设计，精准标注管道坐标、标高、管径、坡度、埋深、管材材质、接口形式、基础处理方式等</w:t>
      </w:r>
      <w:r>
        <w:rPr>
          <w:rFonts w:hint="eastAsia" w:ascii="仿宋_GB2312" w:eastAsia="仿宋_GB2312"/>
          <w:sz w:val="24"/>
        </w:rPr>
        <w:t>设计</w:t>
      </w:r>
      <w:r>
        <w:rPr>
          <w:rFonts w:ascii="仿宋_GB2312" w:eastAsia="仿宋_GB2312"/>
          <w:sz w:val="24"/>
        </w:rPr>
        <w:t>参数。细化检查井、雨水口、支管、接驳口等关键节点设计</w:t>
      </w:r>
      <w:r>
        <w:rPr>
          <w:rFonts w:hint="eastAsia" w:ascii="仿宋_GB2312" w:eastAsia="仿宋_GB2312"/>
          <w:sz w:val="24"/>
        </w:rPr>
        <w:t>；</w:t>
      </w:r>
      <w:r>
        <w:rPr>
          <w:rFonts w:ascii="仿宋_GB2312" w:eastAsia="仿宋_GB2312"/>
          <w:sz w:val="24"/>
        </w:rPr>
        <w:t>完善配套工程设计，包含路面破除与恢复、沟槽开挖与支护、土方回填、边坡防护、安全防护设施等</w:t>
      </w:r>
      <w:r>
        <w:rPr>
          <w:rFonts w:hint="eastAsia" w:ascii="仿宋_GB2312" w:eastAsia="仿宋_GB2312"/>
          <w:sz w:val="24"/>
        </w:rPr>
        <w:t>图纸内容；</w:t>
      </w:r>
      <w:r>
        <w:rPr>
          <w:rFonts w:ascii="仿宋_GB2312" w:eastAsia="仿宋_GB2312"/>
          <w:sz w:val="24"/>
        </w:rPr>
        <w:t>细化材料设备选型参数，明确管材、井盖、防坠网、预埋件等主要材料的规格、型号、技术指标，满足采购及施工要求。</w:t>
      </w:r>
    </w:p>
    <w:p w14:paraId="04B293F8">
      <w:pPr>
        <w:spacing w:line="360" w:lineRule="auto"/>
        <w:ind w:firstLine="482" w:firstLineChars="200"/>
        <w:rPr>
          <w:rFonts w:ascii="仿宋_GB2312" w:eastAsia="仿宋_GB2312"/>
          <w:b/>
          <w:bCs/>
          <w:sz w:val="24"/>
        </w:rPr>
      </w:pPr>
      <w:r>
        <w:rPr>
          <w:rFonts w:hint="eastAsia" w:ascii="仿宋_GB2312" w:eastAsia="仿宋_GB2312"/>
          <w:b/>
          <w:bCs/>
          <w:sz w:val="24"/>
        </w:rPr>
        <w:t>6.造价咨询（预算编制）</w:t>
      </w:r>
    </w:p>
    <w:p w14:paraId="167CCA35">
      <w:pPr>
        <w:spacing w:line="360" w:lineRule="auto"/>
        <w:ind w:firstLine="480" w:firstLineChars="200"/>
        <w:rPr>
          <w:rFonts w:ascii="仿宋_GB2312" w:eastAsia="仿宋_GB2312"/>
          <w:sz w:val="24"/>
        </w:rPr>
      </w:pPr>
      <w:r>
        <w:rPr>
          <w:rFonts w:ascii="仿宋_GB2312" w:eastAsia="仿宋_GB2312"/>
          <w:sz w:val="24"/>
        </w:rPr>
        <w:t>在施工图定稿、初步设计批复基础上，开展全套施工图预算编制工作，严格执行限额造价管理，确保预算精准、合规、完整，满足招标控制价编制、工程结算、财政评审、审计备案要求</w:t>
      </w:r>
      <w:r>
        <w:rPr>
          <w:rFonts w:hint="eastAsia" w:ascii="仿宋_GB2312" w:eastAsia="仿宋_GB2312"/>
          <w:sz w:val="24"/>
        </w:rPr>
        <w:t>。</w:t>
      </w:r>
    </w:p>
    <w:p w14:paraId="6DBFDAE1">
      <w:pPr>
        <w:spacing w:line="360" w:lineRule="auto"/>
        <w:ind w:firstLine="482" w:firstLineChars="200"/>
        <w:rPr>
          <w:rFonts w:ascii="仿宋_GB2312" w:eastAsia="仿宋_GB2312"/>
          <w:b/>
          <w:bCs/>
          <w:sz w:val="24"/>
        </w:rPr>
      </w:pPr>
      <w:r>
        <w:rPr>
          <w:rFonts w:hint="eastAsia" w:ascii="仿宋_GB2312" w:eastAsia="仿宋_GB2312"/>
          <w:b/>
          <w:bCs/>
          <w:sz w:val="24"/>
        </w:rPr>
        <w:t>7</w:t>
      </w:r>
      <w:r>
        <w:rPr>
          <w:rFonts w:ascii="仿宋_GB2312" w:eastAsia="仿宋_GB2312"/>
          <w:b/>
          <w:bCs/>
          <w:sz w:val="24"/>
        </w:rPr>
        <w:t>.</w:t>
      </w:r>
      <w:r>
        <w:rPr>
          <w:rFonts w:hint="eastAsia" w:ascii="仿宋_GB2312" w:eastAsia="仿宋_GB2312"/>
          <w:b/>
          <w:bCs/>
          <w:sz w:val="24"/>
        </w:rPr>
        <w:t>怀集县暴雨强度公式修编和暴雨雨型研究</w:t>
      </w:r>
    </w:p>
    <w:p w14:paraId="377F7B4A">
      <w:pPr>
        <w:spacing w:line="360" w:lineRule="auto"/>
        <w:ind w:firstLine="480" w:firstLineChars="200"/>
        <w:rPr>
          <w:rFonts w:ascii="仿宋_GB2312" w:eastAsia="仿宋_GB2312"/>
          <w:sz w:val="24"/>
          <w:highlight w:val="yellow"/>
        </w:rPr>
      </w:pPr>
      <w:r>
        <w:rPr>
          <w:rFonts w:hint="eastAsia" w:ascii="仿宋_GB2312" w:eastAsia="仿宋_GB2312"/>
          <w:sz w:val="24"/>
        </w:rPr>
        <w:t>对怀集县暴雨强度公式进行修编，对怀集县暴雨雨型进行研究。本项工作可分包。</w:t>
      </w:r>
      <w:r>
        <w:rPr>
          <w:rFonts w:hint="eastAsia" w:ascii="仿宋_GB2312" w:eastAsia="仿宋_GB2312"/>
          <w:sz w:val="24"/>
          <w:highlight w:val="yellow"/>
        </w:rPr>
        <w:t>成果由相关气象局验收。</w:t>
      </w:r>
    </w:p>
    <w:p w14:paraId="0C5EB1C3">
      <w:pPr>
        <w:spacing w:line="360" w:lineRule="auto"/>
        <w:ind w:firstLine="482" w:firstLineChars="200"/>
        <w:rPr>
          <w:rFonts w:ascii="仿宋_GB2312" w:eastAsia="仿宋_GB2312"/>
          <w:b/>
          <w:bCs/>
          <w:sz w:val="24"/>
        </w:rPr>
      </w:pPr>
      <w:r>
        <w:rPr>
          <w:rFonts w:ascii="仿宋_GB2312" w:eastAsia="仿宋_GB2312"/>
          <w:b/>
          <w:bCs/>
          <w:sz w:val="24"/>
        </w:rPr>
        <w:t>8</w:t>
      </w:r>
      <w:r>
        <w:rPr>
          <w:rFonts w:hint="eastAsia" w:ascii="仿宋_GB2312" w:eastAsia="仿宋_GB2312"/>
          <w:b/>
          <w:bCs/>
          <w:sz w:val="24"/>
        </w:rPr>
        <w:t>.其他协助配合</w:t>
      </w:r>
    </w:p>
    <w:p w14:paraId="29160EBF">
      <w:pPr>
        <w:spacing w:line="360" w:lineRule="auto"/>
        <w:ind w:firstLine="480" w:firstLineChars="200"/>
        <w:rPr>
          <w:rFonts w:ascii="仿宋_GB2312" w:eastAsia="仿宋_GB2312"/>
          <w:sz w:val="24"/>
        </w:rPr>
      </w:pPr>
      <w:r>
        <w:rPr>
          <w:rFonts w:hint="eastAsia" w:ascii="仿宋_GB2312" w:eastAsia="仿宋_GB2312"/>
          <w:sz w:val="24"/>
        </w:rPr>
        <w:t>（1）</w:t>
      </w:r>
      <w:r>
        <w:rPr>
          <w:rFonts w:ascii="仿宋_GB2312" w:eastAsia="仿宋_GB2312"/>
          <w:sz w:val="24"/>
        </w:rPr>
        <w:t>配合建设单位完成施工图审查、备案工作，根据审图机构、主管部门意见修改完善图纸，直至施工图审查合格。</w:t>
      </w:r>
    </w:p>
    <w:p w14:paraId="60E02468">
      <w:pPr>
        <w:spacing w:line="360" w:lineRule="auto"/>
        <w:ind w:firstLine="480" w:firstLineChars="200"/>
        <w:rPr>
          <w:rFonts w:ascii="仿宋_GB2312" w:eastAsia="仿宋_GB2312"/>
          <w:sz w:val="24"/>
        </w:rPr>
      </w:pPr>
      <w:r>
        <w:rPr>
          <w:rFonts w:hint="eastAsia" w:ascii="仿宋_GB2312" w:eastAsia="仿宋_GB2312"/>
          <w:sz w:val="24"/>
        </w:rPr>
        <w:t>（2）</w:t>
      </w:r>
      <w:r>
        <w:rPr>
          <w:rFonts w:ascii="仿宋_GB2312" w:eastAsia="仿宋_GB2312"/>
          <w:sz w:val="24"/>
        </w:rPr>
        <w:t>及时响应建设单位、施工单位、监理单位提出的图纸及技术疑问，提供书面或现场技术解答。</w:t>
      </w:r>
    </w:p>
    <w:p w14:paraId="0BC91D97">
      <w:pPr>
        <w:spacing w:line="360" w:lineRule="auto"/>
        <w:ind w:firstLine="480" w:firstLineChars="200"/>
        <w:rPr>
          <w:rFonts w:ascii="仿宋_GB2312" w:eastAsia="仿宋_GB2312"/>
          <w:sz w:val="24"/>
        </w:rPr>
      </w:pPr>
      <w:r>
        <w:rPr>
          <w:rFonts w:hint="eastAsia" w:ascii="仿宋_GB2312" w:eastAsia="仿宋_GB2312"/>
          <w:sz w:val="24"/>
        </w:rPr>
        <w:t>（3）</w:t>
      </w:r>
      <w:r>
        <w:rPr>
          <w:rFonts w:ascii="仿宋_GB2312" w:eastAsia="仿宋_GB2312"/>
          <w:sz w:val="24"/>
        </w:rPr>
        <w:t>严格依据工程变更管理规定，编制设计变更、补充图纸等文件，配合变更报审及造价核算工作。</w:t>
      </w:r>
    </w:p>
    <w:p w14:paraId="2A142FBD">
      <w:pPr>
        <w:spacing w:line="360" w:lineRule="auto"/>
        <w:ind w:firstLine="480" w:firstLineChars="200"/>
        <w:rPr>
          <w:rFonts w:ascii="仿宋_GB2312" w:eastAsia="仿宋_GB2312"/>
          <w:sz w:val="24"/>
        </w:rPr>
      </w:pPr>
      <w:r>
        <w:rPr>
          <w:rFonts w:hint="eastAsia" w:ascii="仿宋_GB2312" w:eastAsia="仿宋_GB2312"/>
          <w:sz w:val="24"/>
        </w:rPr>
        <w:t>（4）</w:t>
      </w:r>
      <w:r>
        <w:rPr>
          <w:rFonts w:ascii="仿宋_GB2312" w:eastAsia="仿宋_GB2312"/>
          <w:sz w:val="24"/>
        </w:rPr>
        <w:t>配合工程竣工验收、专项验收等各项工作，出具相关设计验收资料。</w:t>
      </w:r>
    </w:p>
    <w:p w14:paraId="024C93E7">
      <w:pPr>
        <w:spacing w:line="360" w:lineRule="auto"/>
        <w:ind w:firstLine="482" w:firstLineChars="200"/>
        <w:rPr>
          <w:rFonts w:ascii="仿宋_GB2312" w:eastAsia="仿宋_GB2312"/>
          <w:b/>
          <w:bCs/>
          <w:sz w:val="24"/>
        </w:rPr>
      </w:pPr>
      <w:r>
        <w:rPr>
          <w:rFonts w:ascii="仿宋_GB2312" w:eastAsia="仿宋_GB2312"/>
          <w:b/>
          <w:bCs/>
          <w:sz w:val="24"/>
        </w:rPr>
        <w:t>9</w:t>
      </w:r>
      <w:r>
        <w:rPr>
          <w:rFonts w:hint="eastAsia" w:ascii="仿宋_GB2312" w:eastAsia="仿宋_GB2312"/>
          <w:b/>
          <w:bCs/>
          <w:sz w:val="24"/>
        </w:rPr>
        <w:t>.设计成果</w:t>
      </w:r>
    </w:p>
    <w:p w14:paraId="22CDF5A0">
      <w:pPr>
        <w:spacing w:line="360" w:lineRule="auto"/>
        <w:ind w:firstLine="480" w:firstLineChars="200"/>
        <w:jc w:val="both"/>
        <w:rPr>
          <w:rFonts w:ascii="仿宋_GB2312" w:eastAsia="仿宋_GB2312"/>
          <w:sz w:val="24"/>
        </w:rPr>
      </w:pPr>
      <w:r>
        <w:rPr>
          <w:rFonts w:hint="eastAsia" w:ascii="仿宋_GB2312" w:eastAsia="仿宋_GB2312"/>
          <w:sz w:val="24"/>
        </w:rPr>
        <w:t>工程测量，.dwg格式数字化成果1份。</w:t>
      </w:r>
    </w:p>
    <w:p w14:paraId="321DB456">
      <w:pPr>
        <w:spacing w:line="360" w:lineRule="auto"/>
        <w:ind w:firstLine="480" w:firstLineChars="200"/>
        <w:jc w:val="both"/>
        <w:rPr>
          <w:rFonts w:ascii="仿宋_GB2312" w:eastAsia="仿宋_GB2312"/>
          <w:sz w:val="24"/>
        </w:rPr>
      </w:pPr>
      <w:r>
        <w:rPr>
          <w:rFonts w:hint="eastAsia" w:ascii="仿宋_GB2312" w:eastAsia="仿宋_GB2312"/>
          <w:sz w:val="24"/>
        </w:rPr>
        <w:t>工程勘察报告，正式成果一式六份。</w:t>
      </w:r>
    </w:p>
    <w:p w14:paraId="7A3BD60D">
      <w:pPr>
        <w:spacing w:line="360" w:lineRule="auto"/>
        <w:ind w:firstLine="480" w:firstLineChars="200"/>
        <w:jc w:val="both"/>
        <w:rPr>
          <w:rFonts w:ascii="仿宋_GB2312" w:eastAsia="仿宋_GB2312"/>
          <w:sz w:val="24"/>
        </w:rPr>
      </w:pPr>
      <w:r>
        <w:rPr>
          <w:rFonts w:hint="eastAsia" w:ascii="仿宋_GB2312" w:eastAsia="仿宋_GB2312"/>
          <w:sz w:val="24"/>
        </w:rPr>
        <w:t>初步设计，包括初步设计说明、初步设计图纸、概算，正式成果一式八份。</w:t>
      </w:r>
    </w:p>
    <w:p w14:paraId="76310399">
      <w:pPr>
        <w:spacing w:line="360" w:lineRule="auto"/>
        <w:ind w:firstLine="480" w:firstLineChars="200"/>
        <w:jc w:val="both"/>
        <w:rPr>
          <w:rFonts w:ascii="仿宋_GB2312" w:eastAsia="仿宋_GB2312"/>
          <w:sz w:val="24"/>
        </w:rPr>
      </w:pPr>
      <w:r>
        <w:rPr>
          <w:rFonts w:hint="eastAsia" w:ascii="仿宋_GB2312" w:eastAsia="仿宋_GB2312"/>
          <w:sz w:val="24"/>
        </w:rPr>
        <w:t>施工图设计，包括各相关专业施工蓝图。正式成果一式六份。</w:t>
      </w:r>
    </w:p>
    <w:p w14:paraId="3CE47082">
      <w:pPr>
        <w:spacing w:line="360" w:lineRule="auto"/>
        <w:ind w:firstLine="480" w:firstLineChars="200"/>
        <w:jc w:val="both"/>
        <w:rPr>
          <w:rFonts w:ascii="仿宋_GB2312" w:eastAsia="仿宋_GB2312"/>
          <w:sz w:val="24"/>
        </w:rPr>
      </w:pPr>
      <w:r>
        <w:rPr>
          <w:rFonts w:hint="eastAsia" w:ascii="仿宋_GB2312" w:eastAsia="仿宋_GB2312"/>
          <w:sz w:val="24"/>
        </w:rPr>
        <w:t>预算编制，正式成果一式六份。</w:t>
      </w:r>
    </w:p>
    <w:p w14:paraId="4F8353E4">
      <w:pPr>
        <w:pStyle w:val="3"/>
      </w:pPr>
      <w:r>
        <w:rPr>
          <w:rFonts w:hint="eastAsia"/>
        </w:rPr>
        <w:t>四、服务工期</w:t>
      </w:r>
    </w:p>
    <w:p w14:paraId="5F390174">
      <w:pPr>
        <w:spacing w:line="360" w:lineRule="auto"/>
        <w:ind w:firstLine="480" w:firstLineChars="200"/>
        <w:rPr>
          <w:rFonts w:ascii="仿宋_GB2312" w:eastAsia="仿宋_GB2312"/>
          <w:sz w:val="24"/>
        </w:rPr>
      </w:pPr>
      <w:r>
        <w:rPr>
          <w:rFonts w:hint="eastAsia" w:ascii="仿宋_GB2312" w:eastAsia="仿宋_GB2312"/>
          <w:sz w:val="24"/>
        </w:rPr>
        <w:t>工程测量工期为测量任务书确定后20个日历日；</w:t>
      </w:r>
    </w:p>
    <w:p w14:paraId="780C22DF">
      <w:pPr>
        <w:spacing w:line="360" w:lineRule="auto"/>
        <w:ind w:firstLine="480" w:firstLineChars="200"/>
        <w:rPr>
          <w:rFonts w:ascii="仿宋_GB2312" w:eastAsia="仿宋_GB2312"/>
          <w:sz w:val="24"/>
        </w:rPr>
      </w:pPr>
      <w:r>
        <w:rPr>
          <w:rFonts w:hint="eastAsia" w:ascii="仿宋_GB2312" w:eastAsia="仿宋_GB2312"/>
          <w:sz w:val="24"/>
        </w:rPr>
        <w:t>初步设计（含概算）工期为90个日历日；</w:t>
      </w:r>
    </w:p>
    <w:p w14:paraId="301C3A5D">
      <w:pPr>
        <w:spacing w:line="360" w:lineRule="auto"/>
        <w:ind w:firstLine="480" w:firstLineChars="200"/>
        <w:rPr>
          <w:rFonts w:ascii="仿宋_GB2312" w:eastAsia="仿宋_GB2312"/>
          <w:sz w:val="24"/>
        </w:rPr>
      </w:pPr>
      <w:r>
        <w:rPr>
          <w:rFonts w:hint="eastAsia" w:ascii="仿宋_GB2312" w:eastAsia="仿宋_GB2312"/>
          <w:sz w:val="24"/>
        </w:rPr>
        <w:t>工程勘察工期为勘察任务书确定后60个日历日；</w:t>
      </w:r>
    </w:p>
    <w:p w14:paraId="54DD57A0">
      <w:pPr>
        <w:spacing w:line="360" w:lineRule="auto"/>
        <w:ind w:firstLine="480" w:firstLineChars="200"/>
        <w:rPr>
          <w:rFonts w:ascii="仿宋_GB2312" w:eastAsia="仿宋_GB2312"/>
          <w:sz w:val="24"/>
        </w:rPr>
      </w:pPr>
      <w:r>
        <w:rPr>
          <w:rFonts w:hint="eastAsia" w:ascii="仿宋_GB2312" w:eastAsia="仿宋_GB2312"/>
          <w:sz w:val="24"/>
        </w:rPr>
        <w:t>施工图设计工期为90个日历日；</w:t>
      </w:r>
    </w:p>
    <w:p w14:paraId="257FA8E2">
      <w:pPr>
        <w:spacing w:line="360" w:lineRule="auto"/>
        <w:ind w:firstLine="480" w:firstLineChars="200"/>
        <w:rPr>
          <w:rFonts w:ascii="仿宋_GB2312" w:eastAsia="仿宋_GB2312"/>
          <w:sz w:val="24"/>
        </w:rPr>
      </w:pPr>
      <w:r>
        <w:rPr>
          <w:rFonts w:hint="eastAsia" w:ascii="仿宋_GB2312" w:eastAsia="仿宋_GB2312"/>
          <w:sz w:val="24"/>
        </w:rPr>
        <w:t>预算编制工期为25个日历日。</w:t>
      </w:r>
    </w:p>
    <w:p w14:paraId="42E86E40">
      <w:pPr>
        <w:pStyle w:val="3"/>
      </w:pPr>
      <w:r>
        <w:rPr>
          <w:rFonts w:hint="eastAsia"/>
        </w:rPr>
        <w:t>五、验收标准</w:t>
      </w:r>
    </w:p>
    <w:p w14:paraId="794A3F45">
      <w:pPr>
        <w:spacing w:line="360" w:lineRule="auto"/>
        <w:ind w:firstLine="480" w:firstLineChars="200"/>
        <w:rPr>
          <w:rFonts w:ascii="仿宋_GB2312" w:eastAsia="仿宋_GB2312"/>
          <w:sz w:val="24"/>
        </w:rPr>
      </w:pPr>
      <w:r>
        <w:rPr>
          <w:rFonts w:hint="eastAsia" w:ascii="仿宋_GB2312" w:eastAsia="仿宋_GB2312"/>
          <w:sz w:val="24"/>
        </w:rPr>
        <w:t>测量成果满足</w:t>
      </w:r>
      <w:r>
        <w:rPr>
          <w:rFonts w:ascii="仿宋_GB2312" w:eastAsia="仿宋_GB2312"/>
          <w:sz w:val="24"/>
        </w:rPr>
        <w:t>《工程测量规范》（GB</w:t>
      </w:r>
      <w:r>
        <w:rPr>
          <w:rFonts w:hint="eastAsia" w:ascii="仿宋_GB2312" w:eastAsia="仿宋_GB2312"/>
          <w:sz w:val="24"/>
        </w:rPr>
        <w:t xml:space="preserve"> </w:t>
      </w:r>
      <w:r>
        <w:rPr>
          <w:rFonts w:ascii="仿宋_GB2312" w:eastAsia="仿宋_GB2312"/>
          <w:sz w:val="24"/>
        </w:rPr>
        <w:t>50026</w:t>
      </w:r>
      <w:r>
        <w:rPr>
          <w:rFonts w:hint="eastAsia" w:ascii="仿宋_GB2312" w:eastAsia="仿宋_GB2312"/>
          <w:sz w:val="24"/>
        </w:rPr>
        <w:t>-</w:t>
      </w:r>
      <w:r>
        <w:rPr>
          <w:rFonts w:ascii="仿宋_GB2312" w:eastAsia="仿宋_GB2312"/>
          <w:sz w:val="24"/>
        </w:rPr>
        <w:t>2</w:t>
      </w:r>
      <w:r>
        <w:rPr>
          <w:rFonts w:hint="eastAsia" w:ascii="仿宋_GB2312" w:eastAsia="仿宋_GB2312"/>
          <w:sz w:val="24"/>
        </w:rPr>
        <w:t>020</w:t>
      </w:r>
      <w:r>
        <w:rPr>
          <w:rFonts w:ascii="仿宋_GB2312" w:eastAsia="仿宋_GB2312"/>
          <w:sz w:val="24"/>
        </w:rPr>
        <w:t>）</w:t>
      </w:r>
      <w:r>
        <w:rPr>
          <w:rFonts w:hint="eastAsia" w:ascii="仿宋_GB2312" w:eastAsia="仿宋_GB2312"/>
          <w:sz w:val="24"/>
        </w:rPr>
        <w:t>等相关规范及设计需要；</w:t>
      </w:r>
    </w:p>
    <w:p w14:paraId="00C87E3D">
      <w:pPr>
        <w:spacing w:line="360" w:lineRule="auto"/>
        <w:ind w:firstLine="480" w:firstLineChars="200"/>
        <w:rPr>
          <w:rFonts w:ascii="仿宋_GB2312" w:eastAsia="仿宋_GB2312"/>
          <w:sz w:val="24"/>
        </w:rPr>
      </w:pPr>
      <w:r>
        <w:rPr>
          <w:rFonts w:hint="eastAsia" w:ascii="仿宋_GB2312" w:eastAsia="仿宋_GB2312"/>
          <w:sz w:val="24"/>
        </w:rPr>
        <w:t>初步设计成果满足</w:t>
      </w:r>
      <w:r>
        <w:rPr>
          <w:rFonts w:ascii="仿宋_GB2312" w:eastAsia="仿宋_GB2312"/>
          <w:sz w:val="24"/>
        </w:rPr>
        <w:t>《市政公用工程设计文件编制深度规定》（2025年版）</w:t>
      </w:r>
      <w:r>
        <w:rPr>
          <w:rFonts w:hint="eastAsia" w:ascii="仿宋_GB2312" w:eastAsia="仿宋_GB2312"/>
          <w:sz w:val="24"/>
        </w:rPr>
        <w:t>相关要求，并通过甲方组织的成果审核。</w:t>
      </w:r>
    </w:p>
    <w:p w14:paraId="367A48B2">
      <w:pPr>
        <w:spacing w:line="360" w:lineRule="auto"/>
        <w:ind w:firstLine="480" w:firstLineChars="200"/>
        <w:rPr>
          <w:rFonts w:ascii="仿宋_GB2312" w:eastAsia="仿宋_GB2312"/>
          <w:sz w:val="24"/>
        </w:rPr>
      </w:pPr>
      <w:r>
        <w:rPr>
          <w:rFonts w:hint="eastAsia" w:ascii="仿宋_GB2312" w:eastAsia="仿宋_GB2312"/>
          <w:sz w:val="24"/>
        </w:rPr>
        <w:t>勘察成果及施工图设计文件满足甲方审核，并按实际需要通过施工图审查（以施工图审查单位出具的审查合格书或线上审图合格证为准）。</w:t>
      </w:r>
    </w:p>
    <w:p w14:paraId="57D37213">
      <w:pPr>
        <w:spacing w:line="360" w:lineRule="auto"/>
        <w:ind w:firstLine="480" w:firstLineChars="200"/>
        <w:rPr>
          <w:rFonts w:ascii="仿宋_GB2312" w:eastAsia="仿宋_GB2312"/>
          <w:sz w:val="24"/>
        </w:rPr>
      </w:pPr>
      <w:r>
        <w:rPr>
          <w:rFonts w:hint="eastAsia" w:ascii="仿宋_GB2312" w:eastAsia="仿宋_GB2312"/>
          <w:sz w:val="24"/>
        </w:rPr>
        <w:t>预算编制成果为通过相关部门审核，并满足施工招标要求。</w:t>
      </w: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15023583"/>
      <w:docPartObj>
        <w:docPartGallery w:val="autotext"/>
      </w:docPartObj>
    </w:sdtPr>
    <w:sdtContent>
      <w:p w14:paraId="5E46F4B5">
        <w:pPr>
          <w:pStyle w:val="11"/>
          <w:jc w:val="center"/>
        </w:pPr>
        <w:r>
          <w:fldChar w:fldCharType="begin"/>
        </w:r>
        <w:r>
          <w:instrText xml:space="preserve">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D0906C2"/>
    <w:multiLevelType w:val="multilevel"/>
    <w:tmpl w:val="7D0906C2"/>
    <w:lvl w:ilvl="0" w:tentative="0">
      <w:start w:val="1"/>
      <w:numFmt w:val="decimal"/>
      <w:lvlText w:val="%1."/>
      <w:lvlJc w:val="left"/>
      <w:pPr>
        <w:ind w:left="920" w:hanging="440"/>
      </w:p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D4E"/>
    <w:rsid w:val="00001262"/>
    <w:rsid w:val="00017D6A"/>
    <w:rsid w:val="00032DB7"/>
    <w:rsid w:val="00042BEA"/>
    <w:rsid w:val="00095751"/>
    <w:rsid w:val="000B2F63"/>
    <w:rsid w:val="00175700"/>
    <w:rsid w:val="001939B5"/>
    <w:rsid w:val="001B1336"/>
    <w:rsid w:val="001D30EB"/>
    <w:rsid w:val="001F4C51"/>
    <w:rsid w:val="001F5EC4"/>
    <w:rsid w:val="00222682"/>
    <w:rsid w:val="002408D7"/>
    <w:rsid w:val="00243AC3"/>
    <w:rsid w:val="002624AB"/>
    <w:rsid w:val="00276693"/>
    <w:rsid w:val="002E269B"/>
    <w:rsid w:val="002F3256"/>
    <w:rsid w:val="00325D4E"/>
    <w:rsid w:val="003314B9"/>
    <w:rsid w:val="00333C04"/>
    <w:rsid w:val="00344237"/>
    <w:rsid w:val="00356DB6"/>
    <w:rsid w:val="00380B92"/>
    <w:rsid w:val="0038312D"/>
    <w:rsid w:val="003A4D59"/>
    <w:rsid w:val="00432FC6"/>
    <w:rsid w:val="004441C7"/>
    <w:rsid w:val="004556AD"/>
    <w:rsid w:val="00492327"/>
    <w:rsid w:val="004A6BDA"/>
    <w:rsid w:val="004B2F89"/>
    <w:rsid w:val="004B3A7D"/>
    <w:rsid w:val="004E03A5"/>
    <w:rsid w:val="004F4D96"/>
    <w:rsid w:val="005038C7"/>
    <w:rsid w:val="00530C8C"/>
    <w:rsid w:val="0053324F"/>
    <w:rsid w:val="0053775F"/>
    <w:rsid w:val="00546440"/>
    <w:rsid w:val="005A53DD"/>
    <w:rsid w:val="005F4CE5"/>
    <w:rsid w:val="00612759"/>
    <w:rsid w:val="006156BD"/>
    <w:rsid w:val="00621ECA"/>
    <w:rsid w:val="00623CB8"/>
    <w:rsid w:val="00642C9C"/>
    <w:rsid w:val="006B03B2"/>
    <w:rsid w:val="00732B5C"/>
    <w:rsid w:val="007437DC"/>
    <w:rsid w:val="00760DF2"/>
    <w:rsid w:val="00785DD6"/>
    <w:rsid w:val="00791686"/>
    <w:rsid w:val="007951B3"/>
    <w:rsid w:val="007A048D"/>
    <w:rsid w:val="007B0E4F"/>
    <w:rsid w:val="007E4E6D"/>
    <w:rsid w:val="00872594"/>
    <w:rsid w:val="00873799"/>
    <w:rsid w:val="008B23C0"/>
    <w:rsid w:val="008E75A7"/>
    <w:rsid w:val="008F2449"/>
    <w:rsid w:val="00900D9B"/>
    <w:rsid w:val="00904881"/>
    <w:rsid w:val="00930321"/>
    <w:rsid w:val="009467CD"/>
    <w:rsid w:val="00955D69"/>
    <w:rsid w:val="009B0A41"/>
    <w:rsid w:val="00A0006C"/>
    <w:rsid w:val="00A1737A"/>
    <w:rsid w:val="00A318C9"/>
    <w:rsid w:val="00A334A9"/>
    <w:rsid w:val="00A3621F"/>
    <w:rsid w:val="00A55B74"/>
    <w:rsid w:val="00A56A60"/>
    <w:rsid w:val="00A71829"/>
    <w:rsid w:val="00A77CEE"/>
    <w:rsid w:val="00A84CDF"/>
    <w:rsid w:val="00AB0B22"/>
    <w:rsid w:val="00AE0CE2"/>
    <w:rsid w:val="00AF020D"/>
    <w:rsid w:val="00B01F3D"/>
    <w:rsid w:val="00B35FEA"/>
    <w:rsid w:val="00B42B7C"/>
    <w:rsid w:val="00B5020C"/>
    <w:rsid w:val="00B85969"/>
    <w:rsid w:val="00B97B29"/>
    <w:rsid w:val="00BD31B7"/>
    <w:rsid w:val="00C161C0"/>
    <w:rsid w:val="00C67BF0"/>
    <w:rsid w:val="00CE6A63"/>
    <w:rsid w:val="00D41CD8"/>
    <w:rsid w:val="00D500C3"/>
    <w:rsid w:val="00D532C6"/>
    <w:rsid w:val="00D55A03"/>
    <w:rsid w:val="00D575D4"/>
    <w:rsid w:val="00D578ED"/>
    <w:rsid w:val="00DB2405"/>
    <w:rsid w:val="00DB5B44"/>
    <w:rsid w:val="00DF225B"/>
    <w:rsid w:val="00E55596"/>
    <w:rsid w:val="00E67F69"/>
    <w:rsid w:val="00E9610E"/>
    <w:rsid w:val="00F5253E"/>
    <w:rsid w:val="00F55E60"/>
    <w:rsid w:val="00F64A22"/>
    <w:rsid w:val="00F920C2"/>
    <w:rsid w:val="00FB0B82"/>
    <w:rsid w:val="00FF1A51"/>
    <w:rsid w:val="043C77B9"/>
    <w:rsid w:val="2B792E22"/>
    <w:rsid w:val="73FA3E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9"/>
    <w:unhideWhenUsed/>
    <w:qFormat/>
    <w:uiPriority w:val="9"/>
    <w:pPr>
      <w:keepNext/>
      <w:keepLines/>
      <w:spacing w:line="360" w:lineRule="auto"/>
      <w:outlineLvl w:val="1"/>
    </w:pPr>
    <w:rPr>
      <w:rFonts w:ascii="仿宋_GB2312" w:hAnsi="仿宋_GB2312" w:eastAsia="仿宋_GB2312" w:cs="仿宋_GB2312"/>
      <w:b/>
      <w:bCs/>
      <w:sz w:val="30"/>
      <w:szCs w:val="3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3"/>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4"/>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11">
    <w:name w:val="footer"/>
    <w:basedOn w:val="1"/>
    <w:link w:val="37"/>
    <w:unhideWhenUsed/>
    <w:uiPriority w:val="99"/>
    <w:pPr>
      <w:tabs>
        <w:tab w:val="center" w:pos="4153"/>
        <w:tab w:val="right" w:pos="8306"/>
      </w:tabs>
      <w:snapToGrid w:val="0"/>
      <w:spacing w:line="240" w:lineRule="auto"/>
    </w:pPr>
    <w:rPr>
      <w:sz w:val="18"/>
      <w:szCs w:val="18"/>
    </w:rPr>
  </w:style>
  <w:style w:type="paragraph" w:styleId="12">
    <w:name w:val="header"/>
    <w:basedOn w:val="1"/>
    <w:link w:val="36"/>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6">
    <w:name w:val="Table Grid"/>
    <w:basedOn w:val="15"/>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1 字符"/>
    <w:basedOn w:val="17"/>
    <w:link w:val="2"/>
    <w:qFormat/>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7"/>
    <w:link w:val="3"/>
    <w:qFormat/>
    <w:uiPriority w:val="9"/>
    <w:rPr>
      <w:rFonts w:ascii="仿宋_GB2312" w:hAnsi="仿宋_GB2312" w:eastAsia="仿宋_GB2312" w:cs="仿宋_GB2312"/>
      <w:b/>
      <w:bCs/>
      <w:sz w:val="30"/>
      <w:szCs w:val="30"/>
    </w:rPr>
  </w:style>
  <w:style w:type="character" w:customStyle="1" w:styleId="20">
    <w:name w:val="标题 3 字符"/>
    <w:basedOn w:val="17"/>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7"/>
    <w:link w:val="5"/>
    <w:semiHidden/>
    <w:uiPriority w:val="9"/>
    <w:rPr>
      <w:rFonts w:cstheme="majorBidi"/>
      <w:color w:val="104862" w:themeColor="accent1" w:themeShade="BF"/>
      <w:sz w:val="28"/>
      <w:szCs w:val="28"/>
    </w:rPr>
  </w:style>
  <w:style w:type="character" w:customStyle="1" w:styleId="22">
    <w:name w:val="标题 5 字符"/>
    <w:basedOn w:val="17"/>
    <w:link w:val="6"/>
    <w:semiHidden/>
    <w:qFormat/>
    <w:uiPriority w:val="9"/>
    <w:rPr>
      <w:rFonts w:cstheme="majorBidi"/>
      <w:color w:val="104862" w:themeColor="accent1" w:themeShade="BF"/>
      <w:sz w:val="24"/>
    </w:rPr>
  </w:style>
  <w:style w:type="character" w:customStyle="1" w:styleId="23">
    <w:name w:val="标题 6 字符"/>
    <w:basedOn w:val="17"/>
    <w:link w:val="7"/>
    <w:semiHidden/>
    <w:qFormat/>
    <w:uiPriority w:val="9"/>
    <w:rPr>
      <w:rFonts w:cstheme="majorBidi"/>
      <w:b/>
      <w:bCs/>
      <w:color w:val="104862" w:themeColor="accent1" w:themeShade="BF"/>
    </w:rPr>
  </w:style>
  <w:style w:type="character" w:customStyle="1" w:styleId="24">
    <w:name w:val="标题 7 字符"/>
    <w:basedOn w:val="17"/>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7"/>
    <w:link w:val="33"/>
    <w:qFormat/>
    <w:uiPriority w:val="30"/>
    <w:rPr>
      <w:i/>
      <w:iCs/>
      <w:color w:val="104862" w:themeColor="accent1" w:themeShade="BF"/>
    </w:rPr>
  </w:style>
  <w:style w:type="character" w:customStyle="1" w:styleId="35">
    <w:name w:val="Intense Reference"/>
    <w:basedOn w:val="17"/>
    <w:qFormat/>
    <w:uiPriority w:val="32"/>
    <w:rPr>
      <w:b/>
      <w:bCs/>
      <w:smallCaps/>
      <w:color w:val="104862" w:themeColor="accent1" w:themeShade="BF"/>
      <w:spacing w:val="5"/>
    </w:rPr>
  </w:style>
  <w:style w:type="character" w:customStyle="1" w:styleId="36">
    <w:name w:val="页眉 字符"/>
    <w:basedOn w:val="17"/>
    <w:link w:val="12"/>
    <w:qFormat/>
    <w:uiPriority w:val="99"/>
    <w:rPr>
      <w:sz w:val="18"/>
      <w:szCs w:val="18"/>
    </w:rPr>
  </w:style>
  <w:style w:type="character" w:customStyle="1" w:styleId="37">
    <w:name w:val="页脚 字符"/>
    <w:basedOn w:val="17"/>
    <w:link w:val="11"/>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5</Pages>
  <Words>2582</Words>
  <Characters>3076</Characters>
  <Lines>22</Lines>
  <Paragraphs>6</Paragraphs>
  <TotalTime>7</TotalTime>
  <ScaleCrop>false</ScaleCrop>
  <LinksUpToDate>false</LinksUpToDate>
  <CharactersWithSpaces>3110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2026-08-21T03:18:00Z</dcterms:created>
  <dc:creator>Yaoda Yang</dc:creator>
  <cp:lastModifiedBy>广东建设招标代理</cp:lastModifiedBy>
  <dcterms:modified xsi:type="dcterms:W3CDTF">2026-09-01T01:28:25Z</dcterms:modified>
  <cp:revision>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eyJoZGlkIjoiMzYyNjE4M2E1OTRlY2NlNmI1YmYwNWYxZjBjNTMwZmQiLCJ1c2VySWQiOiIxNTg4MzM1MDM5In0=</vt:lpwstr>
  </property>
  <property fmtid="{D5CDD505-2E9C-101B-9397-08002B2CF9AE}" pid="3" name="KSOProductBuildVer">
    <vt:lpwstr>2052-12.1.0.28505</vt:lpwstr>
  </property>
  <property fmtid="{D5CDD505-2E9C-101B-9397-08002B2CF9AE}" pid="4" name="ICV">
    <vt:lpwstr>0EBEA1FE685743728C4D77397C0E57B2_12</vt:lpwstr>
  </property>
</Properties>
</file>